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0" w:type="dxa"/>
        <w:tblInd w:w="-38" w:type="dxa"/>
        <w:tblLayout w:type="fixed"/>
        <w:tblCellMar>
          <w:left w:w="70" w:type="dxa"/>
          <w:right w:w="70" w:type="dxa"/>
        </w:tblCellMar>
        <w:tblLook w:val="0000" w:firstRow="0" w:lastRow="0" w:firstColumn="0" w:lastColumn="0" w:noHBand="0" w:noVBand="0"/>
      </w:tblPr>
      <w:tblGrid>
        <w:gridCol w:w="1194"/>
        <w:gridCol w:w="2742"/>
        <w:gridCol w:w="1842"/>
        <w:gridCol w:w="2902"/>
      </w:tblGrid>
      <w:tr w:rsidR="00E57F5B" w14:paraId="46B2D247" w14:textId="77777777" w:rsidTr="009E3F3F">
        <w:trPr>
          <w:trHeight w:val="419"/>
        </w:trPr>
        <w:tc>
          <w:tcPr>
            <w:tcW w:w="3936" w:type="dxa"/>
            <w:gridSpan w:val="2"/>
            <w:vMerge w:val="restart"/>
            <w:shd w:val="clear" w:color="auto" w:fill="auto"/>
          </w:tcPr>
          <w:p w14:paraId="7DC7D1A5" w14:textId="77777777" w:rsidR="00E57F5B" w:rsidRDefault="00E57F5B" w:rsidP="00E57F5B">
            <w:pPr>
              <w:pStyle w:val="a5"/>
              <w:numPr>
                <w:ilvl w:val="0"/>
                <w:numId w:val="1"/>
              </w:numPr>
              <w:tabs>
                <w:tab w:val="clear" w:pos="4320"/>
                <w:tab w:val="clear" w:pos="8640"/>
              </w:tabs>
              <w:snapToGrid w:val="0"/>
              <w:ind w:left="0" w:firstLine="180"/>
              <w:jc w:val="both"/>
              <w:rPr>
                <w:b/>
              </w:rPr>
            </w:pPr>
            <w:r>
              <w:rPr>
                <w:rFonts w:ascii="Calibri" w:eastAsia="Calibri" w:hAnsi="Calibri" w:cs="Calibri"/>
                <w:szCs w:val="22"/>
              </w:rPr>
              <w:t xml:space="preserve">                       </w:t>
            </w:r>
            <w:r>
              <w:rPr>
                <w:rFonts w:ascii="Calibri" w:hAnsi="Calibri" w:cs="Calibri"/>
                <w:noProof/>
                <w:szCs w:val="22"/>
                <w:lang w:eastAsia="el-GR"/>
              </w:rPr>
              <w:drawing>
                <wp:inline distT="0" distB="0" distL="0" distR="0" wp14:anchorId="481E69D1" wp14:editId="51CE576F">
                  <wp:extent cx="700429" cy="552450"/>
                  <wp:effectExtent l="0" t="0" r="444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3" t="-93" r="-93" b="-93"/>
                          <a:stretch>
                            <a:fillRect/>
                          </a:stretch>
                        </pic:blipFill>
                        <pic:spPr bwMode="auto">
                          <a:xfrm flipV="1">
                            <a:off x="0" y="0"/>
                            <a:ext cx="739217" cy="583044"/>
                          </a:xfrm>
                          <a:prstGeom prst="rect">
                            <a:avLst/>
                          </a:prstGeom>
                          <a:solidFill>
                            <a:srgbClr val="FFFFFF"/>
                          </a:solidFill>
                          <a:ln>
                            <a:noFill/>
                          </a:ln>
                        </pic:spPr>
                      </pic:pic>
                    </a:graphicData>
                  </a:graphic>
                </wp:inline>
              </w:drawing>
            </w:r>
          </w:p>
        </w:tc>
        <w:tc>
          <w:tcPr>
            <w:tcW w:w="4744" w:type="dxa"/>
            <w:gridSpan w:val="2"/>
            <w:vMerge w:val="restart"/>
            <w:shd w:val="clear" w:color="auto" w:fill="auto"/>
          </w:tcPr>
          <w:p w14:paraId="75C2A14C" w14:textId="77777777" w:rsidR="00E57F5B" w:rsidRDefault="00E57F5B" w:rsidP="00E57F5B">
            <w:pPr>
              <w:numPr>
                <w:ilvl w:val="0"/>
                <w:numId w:val="1"/>
              </w:numPr>
              <w:snapToGrid w:val="0"/>
              <w:jc w:val="both"/>
              <w:rPr>
                <w:b/>
                <w:sz w:val="22"/>
              </w:rPr>
            </w:pPr>
          </w:p>
        </w:tc>
      </w:tr>
      <w:tr w:rsidR="00E57F5B" w14:paraId="712FC237" w14:textId="77777777" w:rsidTr="009E3F3F">
        <w:trPr>
          <w:trHeight w:val="419"/>
        </w:trPr>
        <w:tc>
          <w:tcPr>
            <w:tcW w:w="3936" w:type="dxa"/>
            <w:gridSpan w:val="2"/>
            <w:vMerge/>
            <w:shd w:val="clear" w:color="auto" w:fill="auto"/>
          </w:tcPr>
          <w:p w14:paraId="5539B666" w14:textId="77777777" w:rsidR="00E57F5B" w:rsidRDefault="00E57F5B" w:rsidP="002D27F9">
            <w:pPr>
              <w:snapToGrid w:val="0"/>
              <w:rPr>
                <w:b/>
                <w:sz w:val="22"/>
              </w:rPr>
            </w:pPr>
          </w:p>
        </w:tc>
        <w:tc>
          <w:tcPr>
            <w:tcW w:w="4744" w:type="dxa"/>
            <w:gridSpan w:val="2"/>
            <w:vMerge/>
            <w:shd w:val="clear" w:color="auto" w:fill="auto"/>
          </w:tcPr>
          <w:p w14:paraId="22174145" w14:textId="77777777" w:rsidR="00E57F5B" w:rsidRDefault="00E57F5B" w:rsidP="002D27F9">
            <w:pPr>
              <w:snapToGrid w:val="0"/>
              <w:rPr>
                <w:b/>
                <w:sz w:val="22"/>
              </w:rPr>
            </w:pPr>
          </w:p>
        </w:tc>
      </w:tr>
      <w:tr w:rsidR="00E57F5B" w14:paraId="78B6613D" w14:textId="77777777" w:rsidTr="00467EBC">
        <w:trPr>
          <w:trHeight w:val="253"/>
        </w:trPr>
        <w:tc>
          <w:tcPr>
            <w:tcW w:w="3936" w:type="dxa"/>
            <w:gridSpan w:val="2"/>
            <w:vMerge/>
            <w:shd w:val="clear" w:color="auto" w:fill="auto"/>
          </w:tcPr>
          <w:p w14:paraId="503AA321" w14:textId="77777777" w:rsidR="00E57F5B" w:rsidRDefault="00E57F5B" w:rsidP="002D27F9">
            <w:pPr>
              <w:snapToGrid w:val="0"/>
              <w:rPr>
                <w:b/>
                <w:sz w:val="22"/>
              </w:rPr>
            </w:pPr>
          </w:p>
        </w:tc>
        <w:tc>
          <w:tcPr>
            <w:tcW w:w="4744" w:type="dxa"/>
            <w:gridSpan w:val="2"/>
            <w:vMerge/>
            <w:shd w:val="clear" w:color="auto" w:fill="auto"/>
          </w:tcPr>
          <w:p w14:paraId="7490F93C" w14:textId="77777777" w:rsidR="00E57F5B" w:rsidRDefault="00E57F5B" w:rsidP="002D27F9">
            <w:pPr>
              <w:snapToGrid w:val="0"/>
              <w:rPr>
                <w:rFonts w:hAnsi="Calibri"/>
                <w:b/>
                <w:sz w:val="22"/>
              </w:rPr>
            </w:pPr>
          </w:p>
        </w:tc>
      </w:tr>
      <w:tr w:rsidR="00E57F5B" w14:paraId="6DC9A785" w14:textId="77777777" w:rsidTr="009E3F3F">
        <w:trPr>
          <w:trHeight w:val="593"/>
        </w:trPr>
        <w:tc>
          <w:tcPr>
            <w:tcW w:w="3936" w:type="dxa"/>
            <w:gridSpan w:val="2"/>
            <w:shd w:val="clear" w:color="auto" w:fill="auto"/>
          </w:tcPr>
          <w:p w14:paraId="07BD577A" w14:textId="77777777" w:rsidR="00E57F5B" w:rsidRPr="006D02E4" w:rsidRDefault="00E57F5B" w:rsidP="002D27F9">
            <w:pPr>
              <w:pStyle w:val="10"/>
              <w:jc w:val="center"/>
              <w:rPr>
                <w:b/>
                <w:sz w:val="24"/>
                <w:szCs w:val="24"/>
              </w:rPr>
            </w:pPr>
            <w:r w:rsidRPr="006D02E4">
              <w:rPr>
                <w:rFonts w:ascii="Calibri" w:hAnsi="Calibri" w:cs="Calibri"/>
                <w:b/>
                <w:bCs/>
                <w:sz w:val="24"/>
                <w:szCs w:val="24"/>
              </w:rPr>
              <w:t>ΕΛΛΗΝΙΚΗ ΔΗΜOΚΡΑΤΙΑ</w:t>
            </w:r>
          </w:p>
          <w:p w14:paraId="05D18F9B" w14:textId="77777777" w:rsidR="00E57F5B" w:rsidRPr="006D02E4" w:rsidRDefault="00E57F5B" w:rsidP="002D27F9">
            <w:pPr>
              <w:pStyle w:val="10"/>
              <w:jc w:val="center"/>
              <w:rPr>
                <w:rFonts w:ascii="Calibri" w:hAnsi="Calibri" w:cs="Calibri"/>
                <w:b/>
                <w:bCs/>
                <w:sz w:val="24"/>
                <w:szCs w:val="24"/>
              </w:rPr>
            </w:pPr>
            <w:r w:rsidRPr="006D02E4">
              <w:rPr>
                <w:rFonts w:ascii="Calibri" w:hAnsi="Calibri" w:cs="Calibri"/>
                <w:b/>
                <w:bCs/>
                <w:sz w:val="24"/>
                <w:szCs w:val="24"/>
              </w:rPr>
              <w:t>ΝΟΜΟΣ ΛΑΚΩΝΙΑΣ</w:t>
            </w:r>
          </w:p>
          <w:p w14:paraId="537EEE32" w14:textId="77777777" w:rsidR="00E57F5B" w:rsidRPr="006D02E4" w:rsidRDefault="00E57F5B" w:rsidP="002D27F9">
            <w:pPr>
              <w:pStyle w:val="10"/>
              <w:jc w:val="center"/>
              <w:rPr>
                <w:rFonts w:ascii="Calibri" w:hAnsi="Calibri" w:cs="Calibri"/>
                <w:b/>
                <w:bCs/>
                <w:sz w:val="24"/>
                <w:szCs w:val="24"/>
              </w:rPr>
            </w:pPr>
            <w:r w:rsidRPr="006D02E4">
              <w:rPr>
                <w:rFonts w:ascii="Calibri" w:hAnsi="Calibri" w:cs="Calibri"/>
                <w:b/>
                <w:bCs/>
                <w:sz w:val="24"/>
                <w:szCs w:val="24"/>
              </w:rPr>
              <w:t>ΔΗΜΟΣ ΣΠΑΡΤΗΣ</w:t>
            </w:r>
          </w:p>
          <w:p w14:paraId="4784D98B" w14:textId="77777777" w:rsidR="00E57F5B" w:rsidRDefault="00E57F5B" w:rsidP="00E57F5B">
            <w:pPr>
              <w:pStyle w:val="10"/>
              <w:rPr>
                <w:rFonts w:ascii="Calibri" w:hAnsi="Calibri" w:cs="Calibri"/>
                <w:bCs/>
              </w:rPr>
            </w:pPr>
          </w:p>
        </w:tc>
        <w:tc>
          <w:tcPr>
            <w:tcW w:w="1842" w:type="dxa"/>
            <w:shd w:val="clear" w:color="auto" w:fill="auto"/>
          </w:tcPr>
          <w:p w14:paraId="4E9A7A1E" w14:textId="77777777" w:rsidR="00E57F5B" w:rsidRDefault="00E57F5B" w:rsidP="00E57F5B">
            <w:pPr>
              <w:numPr>
                <w:ilvl w:val="0"/>
                <w:numId w:val="1"/>
              </w:numPr>
              <w:jc w:val="both"/>
              <w:rPr>
                <w:rFonts w:ascii="Calibri" w:hAnsi="Calibri" w:cs="Calibri"/>
                <w:b/>
                <w:sz w:val="22"/>
                <w:szCs w:val="22"/>
              </w:rPr>
            </w:pPr>
          </w:p>
          <w:p w14:paraId="174BBBD3" w14:textId="77777777" w:rsidR="00E57F5B" w:rsidRDefault="00E57F5B" w:rsidP="00E57F5B">
            <w:pPr>
              <w:numPr>
                <w:ilvl w:val="0"/>
                <w:numId w:val="1"/>
              </w:numPr>
              <w:jc w:val="both"/>
              <w:rPr>
                <w:rFonts w:ascii="Calibri" w:hAnsi="Calibri" w:cs="Calibri"/>
                <w:b/>
                <w:sz w:val="22"/>
                <w:szCs w:val="22"/>
              </w:rPr>
            </w:pPr>
          </w:p>
        </w:tc>
        <w:tc>
          <w:tcPr>
            <w:tcW w:w="2902" w:type="dxa"/>
            <w:shd w:val="clear" w:color="auto" w:fill="auto"/>
          </w:tcPr>
          <w:p w14:paraId="4F7148D8" w14:textId="57AA047F" w:rsidR="00E57F5B" w:rsidRPr="00F21E78" w:rsidRDefault="00257888" w:rsidP="006D02E4">
            <w:pPr>
              <w:pStyle w:val="Normalgr"/>
              <w:numPr>
                <w:ilvl w:val="0"/>
                <w:numId w:val="1"/>
              </w:numPr>
              <w:tabs>
                <w:tab w:val="clear" w:pos="1021"/>
                <w:tab w:val="clear" w:pos="1588"/>
              </w:tabs>
              <w:overflowPunct w:val="0"/>
              <w:autoSpaceDE w:val="0"/>
              <w:jc w:val="center"/>
              <w:textAlignment w:val="baseline"/>
              <w:rPr>
                <w:rFonts w:ascii="Calibri" w:hAnsi="Calibri"/>
                <w:b/>
                <w:sz w:val="22"/>
                <w:szCs w:val="22"/>
                <w:lang w:val="el-GR"/>
              </w:rPr>
            </w:pPr>
            <w:r>
              <w:rPr>
                <w:rFonts w:ascii="Calibri" w:hAnsi="Calibri"/>
                <w:b/>
                <w:sz w:val="22"/>
                <w:szCs w:val="22"/>
                <w:lang w:val="el-GR"/>
              </w:rPr>
              <w:t xml:space="preserve">Σπάρτη </w:t>
            </w:r>
            <w:r w:rsidR="004C234D">
              <w:rPr>
                <w:rFonts w:ascii="Calibri" w:hAnsi="Calibri"/>
                <w:b/>
                <w:sz w:val="22"/>
                <w:szCs w:val="22"/>
                <w:lang w:val="el-GR"/>
              </w:rPr>
              <w:t>04-01-2021</w:t>
            </w:r>
          </w:p>
          <w:p w14:paraId="48047357" w14:textId="279A3F88" w:rsidR="006D02E4" w:rsidRPr="00C23D28" w:rsidRDefault="006D02E4" w:rsidP="006D02E4">
            <w:pPr>
              <w:pStyle w:val="Normalgr"/>
              <w:numPr>
                <w:ilvl w:val="0"/>
                <w:numId w:val="1"/>
              </w:numPr>
              <w:tabs>
                <w:tab w:val="clear" w:pos="1021"/>
                <w:tab w:val="clear" w:pos="1588"/>
              </w:tabs>
              <w:overflowPunct w:val="0"/>
              <w:autoSpaceDE w:val="0"/>
              <w:jc w:val="center"/>
              <w:textAlignment w:val="baseline"/>
              <w:rPr>
                <w:rFonts w:ascii="Calibri" w:hAnsi="Calibri"/>
                <w:b/>
                <w:lang w:val="el-GR"/>
              </w:rPr>
            </w:pPr>
            <w:r w:rsidRPr="00F21E78">
              <w:rPr>
                <w:rFonts w:ascii="Calibri" w:hAnsi="Calibri"/>
                <w:b/>
                <w:sz w:val="22"/>
                <w:szCs w:val="22"/>
                <w:lang w:val="el-GR"/>
              </w:rPr>
              <w:t xml:space="preserve">Αρ. </w:t>
            </w:r>
            <w:proofErr w:type="spellStart"/>
            <w:r w:rsidR="00E53B7F" w:rsidRPr="00F21E78">
              <w:rPr>
                <w:rFonts w:ascii="Calibri" w:hAnsi="Calibri"/>
                <w:b/>
                <w:sz w:val="22"/>
                <w:szCs w:val="22"/>
                <w:lang w:val="el-GR"/>
              </w:rPr>
              <w:t>Πρωτ</w:t>
            </w:r>
            <w:proofErr w:type="spellEnd"/>
            <w:r w:rsidRPr="00F21E78">
              <w:rPr>
                <w:rFonts w:ascii="Calibri" w:hAnsi="Calibri"/>
                <w:b/>
                <w:sz w:val="22"/>
                <w:szCs w:val="22"/>
                <w:lang w:val="el-GR"/>
              </w:rPr>
              <w:t>.</w:t>
            </w:r>
            <w:r w:rsidRPr="00257888">
              <w:rPr>
                <w:rFonts w:ascii="Calibri" w:hAnsi="Calibri"/>
                <w:b/>
                <w:sz w:val="22"/>
                <w:szCs w:val="22"/>
                <w:lang w:val="el-GR"/>
              </w:rPr>
              <w:t>:</w:t>
            </w:r>
            <w:r w:rsidR="00257888" w:rsidRPr="00257888">
              <w:rPr>
                <w:rFonts w:ascii="Calibri" w:hAnsi="Calibri"/>
                <w:b/>
                <w:sz w:val="22"/>
                <w:szCs w:val="22"/>
                <w:lang w:val="el-GR"/>
              </w:rPr>
              <w:t xml:space="preserve"> </w:t>
            </w:r>
            <w:r w:rsidR="004C234D">
              <w:rPr>
                <w:rFonts w:ascii="Calibri" w:hAnsi="Calibri"/>
                <w:b/>
                <w:sz w:val="22"/>
                <w:szCs w:val="22"/>
                <w:lang w:val="el-GR"/>
              </w:rPr>
              <w:t>34</w:t>
            </w:r>
          </w:p>
        </w:tc>
      </w:tr>
      <w:tr w:rsidR="00E57F5B" w14:paraId="6DFF2EED" w14:textId="77777777" w:rsidTr="009E3F3F">
        <w:trPr>
          <w:trHeight w:val="520"/>
        </w:trPr>
        <w:tc>
          <w:tcPr>
            <w:tcW w:w="1194" w:type="dxa"/>
            <w:shd w:val="clear" w:color="auto" w:fill="auto"/>
          </w:tcPr>
          <w:p w14:paraId="6C2C8E21" w14:textId="77777777" w:rsidR="00E57F5B" w:rsidRDefault="00E57F5B" w:rsidP="00E57F5B">
            <w:pPr>
              <w:numPr>
                <w:ilvl w:val="0"/>
                <w:numId w:val="1"/>
              </w:numPr>
              <w:snapToGrid w:val="0"/>
              <w:jc w:val="both"/>
              <w:rPr>
                <w:rFonts w:ascii="Calibri" w:hAnsi="Calibri" w:cs="Calibri"/>
                <w:sz w:val="22"/>
                <w:szCs w:val="22"/>
              </w:rPr>
            </w:pPr>
          </w:p>
        </w:tc>
        <w:tc>
          <w:tcPr>
            <w:tcW w:w="2742" w:type="dxa"/>
            <w:shd w:val="clear" w:color="auto" w:fill="auto"/>
          </w:tcPr>
          <w:p w14:paraId="045568BA" w14:textId="77777777" w:rsidR="00E57F5B" w:rsidRPr="00EC5D5A" w:rsidRDefault="00E57F5B" w:rsidP="00E57F5B">
            <w:pPr>
              <w:numPr>
                <w:ilvl w:val="0"/>
                <w:numId w:val="1"/>
              </w:numPr>
              <w:snapToGrid w:val="0"/>
              <w:jc w:val="both"/>
              <w:rPr>
                <w:rFonts w:ascii="Calibri" w:hAnsi="Calibri" w:cs="Calibri"/>
                <w:color w:val="FF0000"/>
                <w:sz w:val="28"/>
                <w:szCs w:val="28"/>
              </w:rPr>
            </w:pPr>
          </w:p>
        </w:tc>
        <w:tc>
          <w:tcPr>
            <w:tcW w:w="1842" w:type="dxa"/>
            <w:shd w:val="clear" w:color="auto" w:fill="auto"/>
          </w:tcPr>
          <w:p w14:paraId="5B9F47DD" w14:textId="77777777" w:rsidR="00E57F5B" w:rsidRPr="00EC5D5A" w:rsidRDefault="00E57F5B" w:rsidP="00EC5D5A">
            <w:pPr>
              <w:snapToGrid w:val="0"/>
              <w:jc w:val="both"/>
              <w:rPr>
                <w:rFonts w:ascii="Calibri" w:hAnsi="Calibri" w:cs="Calibri"/>
                <w:b/>
                <w:color w:val="FF0000"/>
                <w:sz w:val="28"/>
                <w:szCs w:val="28"/>
              </w:rPr>
            </w:pPr>
          </w:p>
          <w:p w14:paraId="0894CE24" w14:textId="77777777" w:rsidR="00EC5D5A" w:rsidRPr="00EC5D5A" w:rsidRDefault="00EC5D5A" w:rsidP="00EC5D5A">
            <w:pPr>
              <w:snapToGrid w:val="0"/>
              <w:jc w:val="both"/>
              <w:rPr>
                <w:rFonts w:ascii="Calibri" w:hAnsi="Calibri" w:cs="Calibri"/>
                <w:b/>
                <w:color w:val="FF0000"/>
                <w:sz w:val="28"/>
                <w:szCs w:val="28"/>
              </w:rPr>
            </w:pPr>
          </w:p>
        </w:tc>
        <w:tc>
          <w:tcPr>
            <w:tcW w:w="2902" w:type="dxa"/>
            <w:shd w:val="clear" w:color="auto" w:fill="auto"/>
          </w:tcPr>
          <w:p w14:paraId="4FB50149" w14:textId="77777777" w:rsidR="00E57F5B" w:rsidRPr="00C23D28" w:rsidRDefault="00E57F5B" w:rsidP="00E57F5B">
            <w:pPr>
              <w:pStyle w:val="1"/>
              <w:numPr>
                <w:ilvl w:val="0"/>
                <w:numId w:val="1"/>
              </w:numPr>
              <w:tabs>
                <w:tab w:val="clear" w:pos="480"/>
                <w:tab w:val="clear" w:pos="960"/>
                <w:tab w:val="clear" w:pos="1440"/>
                <w:tab w:val="clear" w:pos="1920"/>
                <w:tab w:val="clear" w:pos="2400"/>
                <w:tab w:val="clear" w:pos="2880"/>
                <w:tab w:val="clear" w:pos="3360"/>
                <w:tab w:val="clear" w:pos="3840"/>
                <w:tab w:val="clear" w:pos="4320"/>
              </w:tabs>
              <w:snapToGrid w:val="0"/>
              <w:jc w:val="both"/>
              <w:rPr>
                <w:rFonts w:ascii="Calibri" w:hAnsi="Calibri" w:cs="Calibri"/>
                <w:b/>
                <w:strike/>
                <w:sz w:val="22"/>
                <w:szCs w:val="22"/>
              </w:rPr>
            </w:pPr>
          </w:p>
        </w:tc>
      </w:tr>
      <w:tr w:rsidR="00E57F5B" w14:paraId="5BB7B6D6" w14:textId="77777777" w:rsidTr="009E3F3F">
        <w:tblPrEx>
          <w:tblCellMar>
            <w:left w:w="108" w:type="dxa"/>
            <w:right w:w="108" w:type="dxa"/>
          </w:tblCellMar>
        </w:tblPrEx>
        <w:trPr>
          <w:trHeight w:val="1251"/>
        </w:trPr>
        <w:tc>
          <w:tcPr>
            <w:tcW w:w="8680" w:type="dxa"/>
            <w:gridSpan w:val="4"/>
            <w:shd w:val="clear" w:color="auto" w:fill="auto"/>
          </w:tcPr>
          <w:p w14:paraId="71B81907" w14:textId="77777777" w:rsidR="00E57F5B" w:rsidRPr="009E3F3F" w:rsidRDefault="006D02E4" w:rsidP="00E57F5B">
            <w:pPr>
              <w:pStyle w:val="Standard"/>
              <w:numPr>
                <w:ilvl w:val="0"/>
                <w:numId w:val="1"/>
              </w:numPr>
              <w:spacing w:line="276" w:lineRule="auto"/>
              <w:jc w:val="center"/>
              <w:rPr>
                <w:rFonts w:ascii="Calibri" w:hAnsi="Calibri" w:cs="Calibri"/>
                <w:b/>
                <w:spacing w:val="100"/>
                <w:sz w:val="22"/>
                <w:szCs w:val="22"/>
                <w:lang w:val="el-GR"/>
              </w:rPr>
            </w:pPr>
            <w:r w:rsidRPr="009E3F3F">
              <w:rPr>
                <w:rFonts w:ascii="Calibri" w:hAnsi="Calibri" w:cs="Calibri"/>
                <w:b/>
                <w:spacing w:val="100"/>
                <w:sz w:val="22"/>
                <w:szCs w:val="22"/>
                <w:lang w:val="el-GR"/>
              </w:rPr>
              <w:t>ΠΡΟΚΗΡΥΞΗ</w:t>
            </w:r>
            <w:r w:rsidR="00E57F5B" w:rsidRPr="009E3F3F">
              <w:rPr>
                <w:rFonts w:ascii="Calibri" w:hAnsi="Calibri" w:cs="Calibri"/>
                <w:b/>
                <w:spacing w:val="100"/>
                <w:sz w:val="22"/>
                <w:szCs w:val="22"/>
                <w:lang w:val="el-GR"/>
              </w:rPr>
              <w:t xml:space="preserve"> ΑΝΟΙΚΤΗΣ ΔΙΑΔΙΚΑΣΙΑΣ </w:t>
            </w:r>
          </w:p>
          <w:p w14:paraId="3EA52724" w14:textId="77777777" w:rsidR="00E57F5B" w:rsidRPr="009E3F3F" w:rsidRDefault="00E57F5B" w:rsidP="00E57F5B">
            <w:pPr>
              <w:pStyle w:val="Standard"/>
              <w:numPr>
                <w:ilvl w:val="0"/>
                <w:numId w:val="1"/>
              </w:numPr>
              <w:spacing w:line="276" w:lineRule="auto"/>
              <w:jc w:val="center"/>
              <w:rPr>
                <w:rFonts w:ascii="Calibri" w:hAnsi="Calibri" w:cs="Calibri"/>
                <w:b/>
                <w:spacing w:val="100"/>
                <w:sz w:val="22"/>
                <w:szCs w:val="22"/>
                <w:lang w:val="el-GR"/>
              </w:rPr>
            </w:pPr>
            <w:r w:rsidRPr="009E3F3F">
              <w:rPr>
                <w:rFonts w:ascii="Calibri" w:hAnsi="Calibri" w:cs="Calibri"/>
                <w:b/>
                <w:spacing w:val="100"/>
                <w:sz w:val="22"/>
                <w:szCs w:val="22"/>
                <w:lang w:val="el-GR"/>
              </w:rPr>
              <w:t>ΜΕΣΩ ΤΟΥ ΕΘΝΙΚΟΥ ΣΥΣΤΗΜΑΤΟΣ</w:t>
            </w:r>
          </w:p>
          <w:p w14:paraId="60DB64D2" w14:textId="77777777" w:rsidR="00E57F5B" w:rsidRPr="006D02E4" w:rsidRDefault="00E57F5B" w:rsidP="006D02E4">
            <w:pPr>
              <w:pStyle w:val="Standard"/>
              <w:numPr>
                <w:ilvl w:val="0"/>
                <w:numId w:val="1"/>
              </w:numPr>
              <w:spacing w:line="276" w:lineRule="auto"/>
              <w:jc w:val="center"/>
              <w:rPr>
                <w:rFonts w:ascii="Calibri" w:hAnsi="Calibri" w:cs="Calibri"/>
                <w:b/>
                <w:spacing w:val="100"/>
                <w:sz w:val="28"/>
                <w:szCs w:val="28"/>
                <w:lang w:val="el-GR"/>
              </w:rPr>
            </w:pPr>
            <w:r w:rsidRPr="009E3F3F">
              <w:rPr>
                <w:rFonts w:ascii="Calibri" w:hAnsi="Calibri" w:cs="Calibri"/>
                <w:b/>
                <w:spacing w:val="100"/>
                <w:sz w:val="22"/>
                <w:szCs w:val="22"/>
                <w:lang w:val="el-GR"/>
              </w:rPr>
              <w:t>ΗΛΕΚΤΡΟΝΙΚΩΝ ΔΗΜΟΣΙΩΝ ΣΥΜΒΑΣΕΩΝ (Ε.Σ.Η.ΔΗ.Σ.)</w:t>
            </w:r>
          </w:p>
        </w:tc>
      </w:tr>
    </w:tbl>
    <w:p w14:paraId="31EE14D2" w14:textId="77777777" w:rsidR="00E57F5B" w:rsidRDefault="00E57F5B"/>
    <w:p w14:paraId="15A19768" w14:textId="77777777" w:rsidR="006D02E4" w:rsidRPr="00260FAA" w:rsidRDefault="006D02E4" w:rsidP="006D02E4">
      <w:pPr>
        <w:jc w:val="center"/>
        <w:rPr>
          <w:rFonts w:asciiTheme="minorHAnsi" w:hAnsiTheme="minorHAnsi"/>
          <w:b/>
        </w:rPr>
      </w:pPr>
      <w:r w:rsidRPr="00260FAA">
        <w:rPr>
          <w:rFonts w:asciiTheme="minorHAnsi" w:hAnsiTheme="minorHAnsi"/>
          <w:b/>
        </w:rPr>
        <w:t>Ο Δήμος Σπάρτης Προκηρύσσει</w:t>
      </w:r>
    </w:p>
    <w:p w14:paraId="733A1F75" w14:textId="77777777" w:rsidR="00E01C01" w:rsidRPr="001022D8" w:rsidRDefault="00E01C01" w:rsidP="006D02E4">
      <w:pPr>
        <w:jc w:val="center"/>
        <w:rPr>
          <w:rFonts w:asciiTheme="minorHAnsi" w:hAnsiTheme="minorHAnsi"/>
          <w:b/>
          <w:sz w:val="22"/>
          <w:szCs w:val="22"/>
        </w:rPr>
      </w:pPr>
    </w:p>
    <w:p w14:paraId="17D5D1EE" w14:textId="77777777" w:rsidR="00E57F5B" w:rsidRPr="001022D8" w:rsidRDefault="006D02E4" w:rsidP="00E01C01">
      <w:pPr>
        <w:jc w:val="both"/>
        <w:rPr>
          <w:rFonts w:asciiTheme="minorHAnsi" w:hAnsiTheme="minorHAnsi"/>
          <w:b/>
          <w:sz w:val="22"/>
          <w:szCs w:val="22"/>
        </w:rPr>
      </w:pPr>
      <w:r w:rsidRPr="001022D8">
        <w:rPr>
          <w:rFonts w:asciiTheme="minorHAnsi" w:hAnsiTheme="minorHAnsi"/>
          <w:sz w:val="22"/>
          <w:szCs w:val="22"/>
        </w:rPr>
        <w:t>ανοικτή διαδικασία επιλογής αναδόχου του Ν. 4412/2016 μέσω του Εθνικού Συστήματος Ηλεκτρονικών Δημοσίων Συμβάσεων</w:t>
      </w:r>
      <w:r w:rsidR="00E01C01" w:rsidRPr="001022D8">
        <w:rPr>
          <w:rFonts w:asciiTheme="minorHAnsi" w:hAnsiTheme="minorHAnsi"/>
          <w:sz w:val="22"/>
          <w:szCs w:val="22"/>
        </w:rPr>
        <w:t>,</w:t>
      </w:r>
      <w:r w:rsidRPr="001022D8">
        <w:rPr>
          <w:rFonts w:asciiTheme="minorHAnsi" w:hAnsiTheme="minorHAnsi"/>
          <w:sz w:val="22"/>
          <w:szCs w:val="22"/>
        </w:rPr>
        <w:t xml:space="preserve"> με κριτήριο ανάθεσης την πλέον συμφέρουσα από οικονομική άποψη προσφορά με βάση την τιμή, για την κατασκευή του έργου </w:t>
      </w:r>
      <w:r w:rsidRPr="001022D8">
        <w:rPr>
          <w:rFonts w:asciiTheme="minorHAnsi" w:hAnsiTheme="minorHAnsi"/>
          <w:b/>
          <w:sz w:val="22"/>
          <w:szCs w:val="22"/>
        </w:rPr>
        <w:t>«</w:t>
      </w:r>
      <w:r w:rsidR="008E7682" w:rsidRPr="0083084D">
        <w:rPr>
          <w:rFonts w:ascii="Cambria" w:eastAsia="Times New Roman" w:hAnsi="Cambria" w:cs="Calibri"/>
          <w:b/>
        </w:rPr>
        <w:t>ΑΝΑΠΛΑΣΗ ΚΟΙΝΟΧΡΗΣΤΩΝ ΧΩΡΩΝ ΑΝΟΙΚΤΟΥ ΚΕΝΤΡΟΥ ΕΜΠΟΡΙΟΥ ΣΠΑΡΤΗΣ</w:t>
      </w:r>
      <w:r w:rsidR="00E01C01" w:rsidRPr="001022D8">
        <w:rPr>
          <w:rFonts w:asciiTheme="minorHAnsi" w:hAnsiTheme="minorHAnsi"/>
          <w:b/>
          <w:sz w:val="22"/>
          <w:szCs w:val="22"/>
        </w:rPr>
        <w:t xml:space="preserve">», </w:t>
      </w:r>
      <w:r w:rsidR="00E01C01" w:rsidRPr="001022D8">
        <w:rPr>
          <w:rFonts w:asciiTheme="minorHAnsi" w:hAnsiTheme="minorHAnsi"/>
          <w:sz w:val="22"/>
          <w:szCs w:val="22"/>
        </w:rPr>
        <w:t xml:space="preserve">προϋπολογισμού </w:t>
      </w:r>
      <w:r w:rsidR="008E7682">
        <w:rPr>
          <w:rFonts w:asciiTheme="minorHAnsi" w:hAnsiTheme="minorHAnsi"/>
          <w:b/>
          <w:sz w:val="22"/>
          <w:szCs w:val="22"/>
        </w:rPr>
        <w:t>734.677,42</w:t>
      </w:r>
      <w:r w:rsidR="00E01C01" w:rsidRPr="001022D8">
        <w:rPr>
          <w:rFonts w:asciiTheme="minorHAnsi" w:hAnsiTheme="minorHAnsi"/>
          <w:b/>
          <w:sz w:val="22"/>
          <w:szCs w:val="22"/>
        </w:rPr>
        <w:t>€ (πλέον Φ.Π.Α.)</w:t>
      </w:r>
      <w:r w:rsidR="00F36D8A" w:rsidRPr="001022D8">
        <w:rPr>
          <w:rFonts w:asciiTheme="minorHAnsi" w:hAnsiTheme="minorHAnsi"/>
          <w:b/>
          <w:sz w:val="22"/>
          <w:szCs w:val="22"/>
        </w:rPr>
        <w:t xml:space="preserve">, </w:t>
      </w:r>
      <w:r w:rsidR="00F36D8A" w:rsidRPr="001022D8">
        <w:rPr>
          <w:rFonts w:asciiTheme="minorHAnsi" w:hAnsiTheme="minorHAnsi"/>
          <w:b/>
          <w:sz w:val="22"/>
          <w:szCs w:val="22"/>
          <w:lang w:val="en-US"/>
        </w:rPr>
        <w:t>CPV</w:t>
      </w:r>
      <w:r w:rsidR="00F36D8A" w:rsidRPr="001022D8">
        <w:rPr>
          <w:rFonts w:asciiTheme="minorHAnsi" w:hAnsiTheme="minorHAnsi"/>
          <w:b/>
          <w:sz w:val="22"/>
          <w:szCs w:val="22"/>
        </w:rPr>
        <w:t>:</w:t>
      </w:r>
      <w:r w:rsidR="008E7682" w:rsidRPr="008E7682">
        <w:t xml:space="preserve"> </w:t>
      </w:r>
      <w:r w:rsidR="008E7682" w:rsidRPr="008E7682">
        <w:rPr>
          <w:rFonts w:asciiTheme="minorHAnsi" w:hAnsiTheme="minorHAnsi"/>
          <w:b/>
          <w:sz w:val="22"/>
          <w:szCs w:val="22"/>
        </w:rPr>
        <w:t>45233260-9</w:t>
      </w:r>
      <w:r w:rsidR="001776E6">
        <w:rPr>
          <w:rFonts w:asciiTheme="minorHAnsi" w:hAnsiTheme="minorHAnsi"/>
          <w:b/>
          <w:sz w:val="22"/>
          <w:szCs w:val="22"/>
        </w:rPr>
        <w:t xml:space="preserve"> </w:t>
      </w:r>
      <w:r w:rsidR="001776E6" w:rsidRPr="001776E6">
        <w:rPr>
          <w:rFonts w:asciiTheme="minorHAnsi" w:hAnsiTheme="minorHAnsi"/>
          <w:sz w:val="22"/>
          <w:szCs w:val="22"/>
        </w:rPr>
        <w:t>[</w:t>
      </w:r>
      <w:r w:rsidR="008E7682">
        <w:rPr>
          <w:rFonts w:asciiTheme="minorHAnsi" w:hAnsiTheme="minorHAnsi"/>
          <w:sz w:val="22"/>
          <w:szCs w:val="22"/>
        </w:rPr>
        <w:t>Κατασκευαστικές Εργασίες για πεζοδρόμους</w:t>
      </w:r>
      <w:r w:rsidR="001776E6" w:rsidRPr="001776E6">
        <w:rPr>
          <w:rFonts w:asciiTheme="minorHAnsi" w:hAnsiTheme="minorHAnsi"/>
          <w:sz w:val="22"/>
          <w:szCs w:val="22"/>
        </w:rPr>
        <w:t>]</w:t>
      </w:r>
      <w:r w:rsidR="00E01C01" w:rsidRPr="001776E6">
        <w:rPr>
          <w:rFonts w:asciiTheme="minorHAnsi" w:hAnsiTheme="minorHAnsi"/>
          <w:sz w:val="22"/>
          <w:szCs w:val="22"/>
        </w:rPr>
        <w:t>.</w:t>
      </w:r>
    </w:p>
    <w:p w14:paraId="00E345D9" w14:textId="77777777" w:rsidR="00E01C01" w:rsidRPr="00C839E7" w:rsidRDefault="00E01C01" w:rsidP="00E01C01">
      <w:pPr>
        <w:jc w:val="both"/>
        <w:rPr>
          <w:rFonts w:asciiTheme="minorHAnsi" w:hAnsiTheme="minorHAnsi"/>
          <w:b/>
          <w:sz w:val="22"/>
          <w:szCs w:val="22"/>
        </w:rPr>
      </w:pPr>
    </w:p>
    <w:p w14:paraId="29FB33A8" w14:textId="77777777" w:rsidR="00E01C01" w:rsidRPr="001022D8" w:rsidRDefault="00E01C01" w:rsidP="00E01C01">
      <w:pPr>
        <w:jc w:val="both"/>
        <w:rPr>
          <w:rFonts w:asciiTheme="minorHAnsi" w:hAnsiTheme="minorHAnsi"/>
          <w:sz w:val="22"/>
          <w:szCs w:val="22"/>
        </w:rPr>
      </w:pPr>
      <w:r w:rsidRPr="001022D8">
        <w:rPr>
          <w:rFonts w:asciiTheme="minorHAnsi" w:hAnsiTheme="minorHAnsi"/>
          <w:sz w:val="22"/>
          <w:szCs w:val="22"/>
        </w:rPr>
        <w:t xml:space="preserve">1. Ο συνολικός προϋπολογισμός του έργου ανέρχεται σε </w:t>
      </w:r>
      <w:r w:rsidR="008E7682">
        <w:rPr>
          <w:rFonts w:asciiTheme="minorHAnsi" w:hAnsiTheme="minorHAnsi"/>
          <w:b/>
          <w:sz w:val="22"/>
          <w:szCs w:val="22"/>
        </w:rPr>
        <w:t>911.000</w:t>
      </w:r>
      <w:r w:rsidRPr="001022D8">
        <w:rPr>
          <w:rFonts w:asciiTheme="minorHAnsi" w:hAnsiTheme="minorHAnsi"/>
          <w:b/>
          <w:sz w:val="22"/>
          <w:szCs w:val="22"/>
        </w:rPr>
        <w:t>,00€</w:t>
      </w:r>
      <w:r w:rsidRPr="001022D8">
        <w:rPr>
          <w:rFonts w:asciiTheme="minorHAnsi" w:hAnsiTheme="minorHAnsi"/>
          <w:sz w:val="22"/>
          <w:szCs w:val="22"/>
        </w:rPr>
        <w:t xml:space="preserve"> και  αναλύεται σε:</w:t>
      </w:r>
    </w:p>
    <w:p w14:paraId="24F972C0" w14:textId="77777777" w:rsidR="00E01C01" w:rsidRPr="001022D8" w:rsidRDefault="00E01C01" w:rsidP="00E01C01">
      <w:pPr>
        <w:rPr>
          <w:rFonts w:asciiTheme="minorHAnsi" w:hAnsiTheme="minorHAnsi"/>
          <w:sz w:val="22"/>
          <w:szCs w:val="22"/>
        </w:rPr>
      </w:pPr>
      <w:r w:rsidRPr="001022D8">
        <w:rPr>
          <w:rFonts w:asciiTheme="minorHAnsi" w:hAnsiTheme="minorHAnsi"/>
          <w:sz w:val="22"/>
          <w:szCs w:val="22"/>
        </w:rPr>
        <w:t xml:space="preserve">Δαπάνη εργασιών: </w:t>
      </w:r>
      <w:r w:rsidR="008E7682">
        <w:rPr>
          <w:rFonts w:asciiTheme="minorHAnsi" w:hAnsiTheme="minorHAnsi"/>
          <w:b/>
          <w:sz w:val="22"/>
          <w:szCs w:val="22"/>
        </w:rPr>
        <w:t>541.288,59</w:t>
      </w:r>
      <w:r w:rsidRPr="001022D8">
        <w:rPr>
          <w:rFonts w:asciiTheme="minorHAnsi" w:hAnsiTheme="minorHAnsi"/>
          <w:b/>
          <w:sz w:val="22"/>
          <w:szCs w:val="22"/>
        </w:rPr>
        <w:t>€</w:t>
      </w:r>
    </w:p>
    <w:p w14:paraId="10B3F001" w14:textId="77777777" w:rsidR="00E01C01" w:rsidRPr="001022D8" w:rsidRDefault="00E01C01" w:rsidP="00E01C01">
      <w:pPr>
        <w:rPr>
          <w:rFonts w:asciiTheme="minorHAnsi" w:hAnsiTheme="minorHAnsi"/>
          <w:b/>
          <w:sz w:val="22"/>
          <w:szCs w:val="22"/>
        </w:rPr>
      </w:pPr>
      <w:r w:rsidRPr="001022D8">
        <w:rPr>
          <w:rFonts w:asciiTheme="minorHAnsi" w:hAnsiTheme="minorHAnsi"/>
          <w:sz w:val="22"/>
          <w:szCs w:val="22"/>
        </w:rPr>
        <w:t xml:space="preserve">ΓΕ &amp; ΟΕ: </w:t>
      </w:r>
      <w:r w:rsidR="008E7682">
        <w:rPr>
          <w:rFonts w:asciiTheme="minorHAnsi" w:hAnsiTheme="minorHAnsi"/>
          <w:b/>
          <w:sz w:val="22"/>
          <w:szCs w:val="22"/>
        </w:rPr>
        <w:t>97.431,95</w:t>
      </w:r>
      <w:r w:rsidRPr="001022D8">
        <w:rPr>
          <w:rFonts w:asciiTheme="minorHAnsi" w:hAnsiTheme="minorHAnsi"/>
          <w:b/>
          <w:sz w:val="22"/>
          <w:szCs w:val="22"/>
        </w:rPr>
        <w:t xml:space="preserve"> €</w:t>
      </w:r>
    </w:p>
    <w:p w14:paraId="620B13B1" w14:textId="77777777" w:rsidR="00A41226" w:rsidRPr="001022D8" w:rsidRDefault="00E01C01" w:rsidP="00E01C01">
      <w:pPr>
        <w:rPr>
          <w:rFonts w:asciiTheme="minorHAnsi" w:hAnsiTheme="minorHAnsi"/>
          <w:sz w:val="22"/>
          <w:szCs w:val="22"/>
        </w:rPr>
      </w:pPr>
      <w:r w:rsidRPr="001022D8">
        <w:rPr>
          <w:rFonts w:asciiTheme="minorHAnsi" w:hAnsiTheme="minorHAnsi"/>
          <w:sz w:val="22"/>
          <w:szCs w:val="22"/>
        </w:rPr>
        <w:t xml:space="preserve">Απρόβλεπτα: </w:t>
      </w:r>
      <w:r w:rsidR="008E7682">
        <w:rPr>
          <w:rFonts w:asciiTheme="minorHAnsi" w:hAnsiTheme="minorHAnsi" w:cs="Calibri"/>
          <w:b/>
          <w:sz w:val="22"/>
          <w:szCs w:val="22"/>
        </w:rPr>
        <w:t>95.808,08</w:t>
      </w:r>
      <w:r w:rsidR="00A41226" w:rsidRPr="001022D8">
        <w:rPr>
          <w:rFonts w:asciiTheme="minorHAnsi" w:hAnsiTheme="minorHAnsi" w:cs="Calibri"/>
          <w:b/>
          <w:sz w:val="22"/>
          <w:szCs w:val="22"/>
        </w:rPr>
        <w:t xml:space="preserve"> €</w:t>
      </w:r>
    </w:p>
    <w:p w14:paraId="5DFF4DC5" w14:textId="77777777" w:rsidR="00E01C01" w:rsidRPr="001022D8" w:rsidRDefault="00E01C01" w:rsidP="00E01C01">
      <w:pPr>
        <w:rPr>
          <w:rFonts w:asciiTheme="minorHAnsi" w:hAnsiTheme="minorHAnsi"/>
          <w:sz w:val="22"/>
          <w:szCs w:val="22"/>
        </w:rPr>
      </w:pPr>
      <w:r w:rsidRPr="001022D8">
        <w:rPr>
          <w:rFonts w:asciiTheme="minorHAnsi" w:hAnsiTheme="minorHAnsi"/>
          <w:sz w:val="22"/>
          <w:szCs w:val="22"/>
        </w:rPr>
        <w:t xml:space="preserve">Πρόβλεψη αναθεώρησης: </w:t>
      </w:r>
      <w:r w:rsidR="008E7682">
        <w:rPr>
          <w:rFonts w:asciiTheme="minorHAnsi" w:hAnsiTheme="minorHAnsi"/>
          <w:b/>
          <w:sz w:val="22"/>
          <w:szCs w:val="22"/>
        </w:rPr>
        <w:t>148,81</w:t>
      </w:r>
      <w:r w:rsidR="00A41226" w:rsidRPr="001022D8">
        <w:rPr>
          <w:rFonts w:asciiTheme="minorHAnsi" w:hAnsiTheme="minorHAnsi"/>
          <w:b/>
          <w:sz w:val="22"/>
          <w:szCs w:val="22"/>
        </w:rPr>
        <w:t xml:space="preserve"> €</w:t>
      </w:r>
    </w:p>
    <w:p w14:paraId="26576645" w14:textId="77777777" w:rsidR="00E57F5B" w:rsidRPr="001022D8" w:rsidRDefault="00E01C01" w:rsidP="00E01C01">
      <w:pPr>
        <w:rPr>
          <w:rFonts w:asciiTheme="minorHAnsi" w:hAnsiTheme="minorHAnsi"/>
          <w:b/>
          <w:sz w:val="22"/>
          <w:szCs w:val="22"/>
        </w:rPr>
      </w:pPr>
      <w:r w:rsidRPr="001022D8">
        <w:rPr>
          <w:rFonts w:asciiTheme="minorHAnsi" w:hAnsiTheme="minorHAnsi"/>
          <w:sz w:val="22"/>
          <w:szCs w:val="22"/>
        </w:rPr>
        <w:t xml:space="preserve">ΦΠΑ 24%: </w:t>
      </w:r>
      <w:r w:rsidR="008E7682">
        <w:rPr>
          <w:rFonts w:asciiTheme="minorHAnsi" w:hAnsiTheme="minorHAnsi"/>
          <w:b/>
          <w:sz w:val="22"/>
          <w:szCs w:val="22"/>
        </w:rPr>
        <w:t>176.322,58</w:t>
      </w:r>
      <w:r w:rsidR="00A41226" w:rsidRPr="001022D8">
        <w:rPr>
          <w:rFonts w:asciiTheme="minorHAnsi" w:hAnsiTheme="minorHAnsi"/>
          <w:b/>
          <w:sz w:val="22"/>
          <w:szCs w:val="22"/>
        </w:rPr>
        <w:t xml:space="preserve"> €</w:t>
      </w:r>
    </w:p>
    <w:p w14:paraId="01FB2788" w14:textId="77777777" w:rsidR="00E57F5B" w:rsidRPr="001022D8" w:rsidRDefault="00E57F5B">
      <w:pPr>
        <w:rPr>
          <w:rFonts w:asciiTheme="minorHAnsi" w:hAnsiTheme="minorHAnsi"/>
          <w:sz w:val="22"/>
          <w:szCs w:val="22"/>
        </w:rPr>
      </w:pPr>
    </w:p>
    <w:p w14:paraId="1B28444E" w14:textId="77777777" w:rsidR="00A41226" w:rsidRPr="001022D8" w:rsidRDefault="00A41226" w:rsidP="00A41226">
      <w:pPr>
        <w:rPr>
          <w:rFonts w:asciiTheme="minorHAnsi" w:hAnsiTheme="minorHAnsi"/>
          <w:sz w:val="22"/>
          <w:szCs w:val="22"/>
        </w:rPr>
      </w:pPr>
      <w:r w:rsidRPr="001022D8">
        <w:rPr>
          <w:rFonts w:asciiTheme="minorHAnsi" w:hAnsiTheme="minorHAnsi"/>
          <w:sz w:val="22"/>
          <w:szCs w:val="22"/>
        </w:rPr>
        <w:t xml:space="preserve">2. Αναθέτουσα αρχή: </w:t>
      </w:r>
      <w:r w:rsidRPr="001022D8">
        <w:rPr>
          <w:rFonts w:asciiTheme="minorHAnsi" w:hAnsiTheme="minorHAnsi"/>
          <w:b/>
          <w:sz w:val="22"/>
          <w:szCs w:val="22"/>
        </w:rPr>
        <w:t>ΔΗΜΟΣ ΣΠΑΡΤΗΣ</w:t>
      </w:r>
    </w:p>
    <w:p w14:paraId="72D12B25" w14:textId="77777777" w:rsidR="00A41226" w:rsidRPr="00F658A1" w:rsidRDefault="00A41226" w:rsidP="00A41226">
      <w:pPr>
        <w:rPr>
          <w:rFonts w:asciiTheme="minorHAnsi" w:hAnsiTheme="minorHAnsi"/>
          <w:b/>
          <w:sz w:val="22"/>
          <w:szCs w:val="22"/>
        </w:rPr>
      </w:pPr>
      <w:r w:rsidRPr="001022D8">
        <w:rPr>
          <w:rFonts w:asciiTheme="minorHAnsi" w:hAnsiTheme="minorHAnsi"/>
          <w:sz w:val="22"/>
          <w:szCs w:val="22"/>
        </w:rPr>
        <w:t>Δ/</w:t>
      </w:r>
      <w:proofErr w:type="spellStart"/>
      <w:r w:rsidRPr="001022D8">
        <w:rPr>
          <w:rFonts w:asciiTheme="minorHAnsi" w:hAnsiTheme="minorHAnsi"/>
          <w:sz w:val="22"/>
          <w:szCs w:val="22"/>
        </w:rPr>
        <w:t>νση</w:t>
      </w:r>
      <w:proofErr w:type="spellEnd"/>
      <w:r w:rsidRPr="001022D8">
        <w:rPr>
          <w:rFonts w:asciiTheme="minorHAnsi" w:hAnsiTheme="minorHAnsi"/>
          <w:sz w:val="22"/>
          <w:szCs w:val="22"/>
        </w:rPr>
        <w:t>:</w:t>
      </w:r>
      <w:r w:rsidR="00FF0833">
        <w:rPr>
          <w:rFonts w:asciiTheme="minorHAnsi" w:hAnsiTheme="minorHAnsi"/>
          <w:sz w:val="22"/>
          <w:szCs w:val="22"/>
        </w:rPr>
        <w:t xml:space="preserve"> </w:t>
      </w:r>
      <w:r w:rsidRPr="001022D8">
        <w:rPr>
          <w:rFonts w:asciiTheme="minorHAnsi" w:hAnsiTheme="minorHAnsi"/>
          <w:b/>
          <w:sz w:val="22"/>
          <w:szCs w:val="22"/>
        </w:rPr>
        <w:t>Διοικητήριο Π.Ε</w:t>
      </w:r>
      <w:r w:rsidR="00F658A1">
        <w:rPr>
          <w:rFonts w:asciiTheme="minorHAnsi" w:hAnsiTheme="minorHAnsi"/>
          <w:b/>
          <w:sz w:val="22"/>
          <w:szCs w:val="22"/>
        </w:rPr>
        <w:t xml:space="preserve">. Λακωνίας, 2ο </w:t>
      </w:r>
      <w:proofErr w:type="spellStart"/>
      <w:r w:rsidR="00F658A1">
        <w:rPr>
          <w:rFonts w:asciiTheme="minorHAnsi" w:hAnsiTheme="minorHAnsi"/>
          <w:b/>
          <w:sz w:val="22"/>
          <w:szCs w:val="22"/>
        </w:rPr>
        <w:t>χλμ</w:t>
      </w:r>
      <w:proofErr w:type="spellEnd"/>
      <w:r w:rsidR="00F658A1">
        <w:rPr>
          <w:rFonts w:asciiTheme="minorHAnsi" w:hAnsiTheme="minorHAnsi"/>
          <w:b/>
          <w:sz w:val="22"/>
          <w:szCs w:val="22"/>
        </w:rPr>
        <w:t xml:space="preserve"> Ε.Ο. Σπάρτης-</w:t>
      </w:r>
      <w:proofErr w:type="spellStart"/>
      <w:r w:rsidRPr="001022D8">
        <w:rPr>
          <w:rFonts w:asciiTheme="minorHAnsi" w:hAnsiTheme="minorHAnsi"/>
          <w:b/>
          <w:sz w:val="22"/>
          <w:szCs w:val="22"/>
        </w:rPr>
        <w:t>Γυθείου</w:t>
      </w:r>
      <w:proofErr w:type="spellEnd"/>
      <w:r w:rsidRPr="001022D8">
        <w:rPr>
          <w:rFonts w:asciiTheme="minorHAnsi" w:hAnsiTheme="minorHAnsi"/>
          <w:b/>
          <w:sz w:val="22"/>
          <w:szCs w:val="22"/>
        </w:rPr>
        <w:t>,</w:t>
      </w:r>
      <w:r w:rsidR="00F658A1">
        <w:rPr>
          <w:rFonts w:asciiTheme="minorHAnsi" w:hAnsiTheme="minorHAnsi"/>
          <w:b/>
          <w:sz w:val="22"/>
          <w:szCs w:val="22"/>
        </w:rPr>
        <w:t xml:space="preserve"> </w:t>
      </w:r>
      <w:r w:rsidRPr="001022D8">
        <w:rPr>
          <w:rFonts w:asciiTheme="minorHAnsi" w:hAnsiTheme="minorHAnsi"/>
          <w:b/>
          <w:sz w:val="22"/>
          <w:szCs w:val="22"/>
        </w:rPr>
        <w:t xml:space="preserve">Σπάρτη, </w:t>
      </w:r>
      <w:r w:rsidR="00F658A1">
        <w:rPr>
          <w:rFonts w:asciiTheme="minorHAnsi" w:hAnsiTheme="minorHAnsi"/>
          <w:b/>
          <w:sz w:val="22"/>
          <w:szCs w:val="22"/>
        </w:rPr>
        <w:t xml:space="preserve">ΤΚ </w:t>
      </w:r>
      <w:r w:rsidRPr="001022D8">
        <w:rPr>
          <w:rFonts w:asciiTheme="minorHAnsi" w:hAnsiTheme="minorHAnsi"/>
          <w:b/>
          <w:sz w:val="22"/>
          <w:szCs w:val="22"/>
        </w:rPr>
        <w:t>23100</w:t>
      </w:r>
      <w:r w:rsidRPr="001022D8">
        <w:rPr>
          <w:rFonts w:asciiTheme="minorHAnsi" w:hAnsiTheme="minorHAnsi"/>
          <w:sz w:val="22"/>
          <w:szCs w:val="22"/>
        </w:rPr>
        <w:t xml:space="preserve"> </w:t>
      </w:r>
    </w:p>
    <w:p w14:paraId="5D710DDF" w14:textId="77777777" w:rsidR="00A41226" w:rsidRPr="00C914C6" w:rsidRDefault="00A41226" w:rsidP="00A41226">
      <w:pPr>
        <w:rPr>
          <w:rFonts w:asciiTheme="minorHAnsi" w:hAnsiTheme="minorHAnsi"/>
          <w:b/>
          <w:sz w:val="22"/>
          <w:szCs w:val="22"/>
          <w:lang w:val="en-US"/>
        </w:rPr>
      </w:pPr>
      <w:proofErr w:type="spellStart"/>
      <w:r w:rsidRPr="001022D8">
        <w:rPr>
          <w:rFonts w:asciiTheme="minorHAnsi" w:hAnsiTheme="minorHAnsi"/>
          <w:sz w:val="22"/>
          <w:szCs w:val="22"/>
        </w:rPr>
        <w:t>Τηλ</w:t>
      </w:r>
      <w:proofErr w:type="spellEnd"/>
      <w:r w:rsidRPr="003B3A49">
        <w:rPr>
          <w:rFonts w:asciiTheme="minorHAnsi" w:hAnsiTheme="minorHAnsi"/>
          <w:sz w:val="22"/>
          <w:szCs w:val="22"/>
          <w:lang w:val="en-US"/>
        </w:rPr>
        <w:t xml:space="preserve">.: </w:t>
      </w:r>
      <w:r w:rsidRPr="003B3A49">
        <w:rPr>
          <w:rFonts w:asciiTheme="minorHAnsi" w:hAnsiTheme="minorHAnsi"/>
          <w:b/>
          <w:sz w:val="22"/>
          <w:szCs w:val="22"/>
          <w:lang w:val="en-US"/>
        </w:rPr>
        <w:t>27</w:t>
      </w:r>
      <w:r w:rsidRPr="00C914C6">
        <w:rPr>
          <w:rFonts w:asciiTheme="minorHAnsi" w:hAnsiTheme="minorHAnsi"/>
          <w:b/>
          <w:sz w:val="22"/>
          <w:szCs w:val="22"/>
          <w:lang w:val="en-US"/>
        </w:rPr>
        <w:t>31363359</w:t>
      </w:r>
    </w:p>
    <w:p w14:paraId="552DFF59" w14:textId="77777777" w:rsidR="00A41226" w:rsidRPr="001022D8" w:rsidRDefault="00A41226" w:rsidP="00A41226">
      <w:pPr>
        <w:rPr>
          <w:rFonts w:asciiTheme="minorHAnsi" w:hAnsiTheme="minorHAnsi"/>
          <w:b/>
          <w:sz w:val="22"/>
          <w:szCs w:val="22"/>
          <w:lang w:val="en-US"/>
        </w:rPr>
      </w:pPr>
      <w:r w:rsidRPr="00C914C6">
        <w:rPr>
          <w:rFonts w:asciiTheme="minorHAnsi" w:hAnsiTheme="minorHAnsi"/>
          <w:sz w:val="22"/>
          <w:szCs w:val="22"/>
          <w:lang w:val="en-US"/>
        </w:rPr>
        <w:t>Telefax</w:t>
      </w:r>
      <w:r w:rsidRPr="001022D8">
        <w:rPr>
          <w:rFonts w:asciiTheme="minorHAnsi" w:hAnsiTheme="minorHAnsi"/>
          <w:sz w:val="22"/>
          <w:szCs w:val="22"/>
          <w:lang w:val="en-US"/>
        </w:rPr>
        <w:t xml:space="preserve">: </w:t>
      </w:r>
      <w:r w:rsidRPr="001022D8">
        <w:rPr>
          <w:rFonts w:asciiTheme="minorHAnsi" w:hAnsiTheme="minorHAnsi"/>
          <w:b/>
          <w:sz w:val="22"/>
          <w:szCs w:val="22"/>
          <w:lang w:val="en-US"/>
        </w:rPr>
        <w:t>2731363371</w:t>
      </w:r>
    </w:p>
    <w:p w14:paraId="60A9E347" w14:textId="77777777" w:rsidR="00E01C01" w:rsidRPr="00C914C6" w:rsidRDefault="00A41226" w:rsidP="00A41226">
      <w:pPr>
        <w:rPr>
          <w:rFonts w:asciiTheme="minorHAnsi" w:hAnsiTheme="minorHAnsi"/>
          <w:sz w:val="22"/>
          <w:szCs w:val="22"/>
          <w:lang w:val="en-US"/>
        </w:rPr>
      </w:pPr>
      <w:r w:rsidRPr="00C914C6">
        <w:rPr>
          <w:rFonts w:asciiTheme="minorHAnsi" w:hAnsiTheme="minorHAnsi"/>
          <w:sz w:val="22"/>
          <w:szCs w:val="22"/>
          <w:lang w:val="en-US"/>
        </w:rPr>
        <w:t xml:space="preserve">E-mail: </w:t>
      </w:r>
      <w:r w:rsidRPr="00C914C6">
        <w:rPr>
          <w:rFonts w:asciiTheme="minorHAnsi" w:hAnsiTheme="minorHAnsi"/>
          <w:b/>
          <w:sz w:val="22"/>
          <w:szCs w:val="22"/>
          <w:lang w:val="en-US"/>
        </w:rPr>
        <w:t>texniki@1504.syzefxis.gov.gr</w:t>
      </w:r>
    </w:p>
    <w:p w14:paraId="708114D9" w14:textId="77777777" w:rsidR="00E01C01" w:rsidRPr="001022D8" w:rsidRDefault="00A41226">
      <w:pPr>
        <w:rPr>
          <w:rFonts w:asciiTheme="minorHAnsi" w:hAnsiTheme="minorHAnsi"/>
          <w:b/>
          <w:sz w:val="22"/>
          <w:szCs w:val="22"/>
        </w:rPr>
      </w:pPr>
      <w:r w:rsidRPr="001022D8">
        <w:rPr>
          <w:rFonts w:asciiTheme="minorHAnsi" w:hAnsiTheme="minorHAnsi"/>
          <w:sz w:val="22"/>
          <w:szCs w:val="22"/>
        </w:rPr>
        <w:t xml:space="preserve">Πληροφορίες: </w:t>
      </w:r>
      <w:r w:rsidRPr="001022D8">
        <w:rPr>
          <w:rFonts w:asciiTheme="minorHAnsi" w:hAnsiTheme="minorHAnsi"/>
          <w:b/>
          <w:sz w:val="22"/>
          <w:szCs w:val="22"/>
        </w:rPr>
        <w:t>Βαρζακάκος Κωνσταντίνος</w:t>
      </w:r>
    </w:p>
    <w:p w14:paraId="2309C4EA" w14:textId="77777777" w:rsidR="00E01C01" w:rsidRPr="001022D8" w:rsidRDefault="00E01C01">
      <w:pPr>
        <w:rPr>
          <w:rFonts w:asciiTheme="minorHAnsi" w:hAnsiTheme="minorHAnsi"/>
          <w:sz w:val="22"/>
          <w:szCs w:val="22"/>
        </w:rPr>
      </w:pPr>
    </w:p>
    <w:p w14:paraId="48D4170E" w14:textId="192F8F90" w:rsidR="00CC19D9" w:rsidRPr="001022D8" w:rsidRDefault="00F36D8A" w:rsidP="00CC19D9">
      <w:pPr>
        <w:jc w:val="both"/>
        <w:rPr>
          <w:rFonts w:asciiTheme="minorHAnsi" w:hAnsiTheme="minorHAnsi"/>
          <w:sz w:val="22"/>
          <w:szCs w:val="22"/>
        </w:rPr>
      </w:pPr>
      <w:r w:rsidRPr="001022D8">
        <w:rPr>
          <w:rFonts w:asciiTheme="minorHAnsi" w:hAnsiTheme="minorHAnsi"/>
          <w:sz w:val="22"/>
          <w:szCs w:val="22"/>
        </w:rPr>
        <w:t xml:space="preserve">3. Ο διαγωνισμός θα διεξαχθεί με χρήση της ηλεκτρονικής πλατφόρμας του Εθνικού Συστήματος Ηλεκτρονικών Δημοσίων Συμβάσεων (Ε.Σ.Η.ΔΗ.Σ.). Οι προσφορές θα υποβάλλονται από τους οικονομικούς φορείς ηλεκτρονικά στη διαδικτυακή πύλη www.promitheus.gov.gr του συστήματος, με ημερομηνία λήξης υποβολής προσφορών την </w:t>
      </w:r>
      <w:r w:rsidR="004C234D">
        <w:rPr>
          <w:rFonts w:asciiTheme="minorHAnsi" w:hAnsiTheme="minorHAnsi"/>
          <w:b/>
          <w:sz w:val="22"/>
          <w:szCs w:val="22"/>
        </w:rPr>
        <w:t>21-01-2021</w:t>
      </w:r>
      <w:r w:rsidR="00257888">
        <w:rPr>
          <w:rFonts w:asciiTheme="minorHAnsi" w:hAnsiTheme="minorHAnsi"/>
          <w:b/>
          <w:sz w:val="22"/>
          <w:szCs w:val="22"/>
        </w:rPr>
        <w:t xml:space="preserve">, ημέρα </w:t>
      </w:r>
      <w:r w:rsidR="004C234D">
        <w:rPr>
          <w:rFonts w:asciiTheme="minorHAnsi" w:hAnsiTheme="minorHAnsi"/>
          <w:b/>
          <w:sz w:val="22"/>
          <w:szCs w:val="22"/>
        </w:rPr>
        <w:t>Πέμπτη</w:t>
      </w:r>
      <w:r w:rsidR="002C1F27">
        <w:rPr>
          <w:rFonts w:asciiTheme="minorHAnsi" w:hAnsiTheme="minorHAnsi"/>
          <w:b/>
          <w:sz w:val="22"/>
          <w:szCs w:val="22"/>
        </w:rPr>
        <w:t>.</w:t>
      </w:r>
      <w:r w:rsidRPr="001022D8">
        <w:rPr>
          <w:rFonts w:asciiTheme="minorHAnsi" w:hAnsiTheme="minorHAnsi"/>
          <w:sz w:val="22"/>
          <w:szCs w:val="22"/>
        </w:rPr>
        <w:t xml:space="preserve"> Ώρα λήξης της υποβολής προσφορών ορίζεται η </w:t>
      </w:r>
      <w:r w:rsidRPr="001022D8">
        <w:rPr>
          <w:rFonts w:asciiTheme="minorHAnsi" w:hAnsiTheme="minorHAnsi"/>
          <w:b/>
          <w:sz w:val="22"/>
          <w:szCs w:val="22"/>
        </w:rPr>
        <w:t>15:00</w:t>
      </w:r>
      <w:r w:rsidR="002C1F27">
        <w:rPr>
          <w:rFonts w:asciiTheme="minorHAnsi" w:hAnsiTheme="minorHAnsi"/>
          <w:b/>
          <w:sz w:val="22"/>
          <w:szCs w:val="22"/>
        </w:rPr>
        <w:t>μμ</w:t>
      </w:r>
      <w:r w:rsidRPr="001022D8">
        <w:rPr>
          <w:rFonts w:asciiTheme="minorHAnsi" w:hAnsiTheme="minorHAnsi"/>
          <w:b/>
          <w:sz w:val="22"/>
          <w:szCs w:val="22"/>
        </w:rPr>
        <w:t>.</w:t>
      </w:r>
      <w:r w:rsidR="00CC19D9" w:rsidRPr="001022D8">
        <w:rPr>
          <w:rFonts w:asciiTheme="minorHAnsi" w:hAnsiTheme="minorHAnsi"/>
          <w:sz w:val="22"/>
          <w:szCs w:val="22"/>
        </w:rPr>
        <w:t xml:space="preserve"> </w:t>
      </w:r>
    </w:p>
    <w:p w14:paraId="0B8549F5" w14:textId="1C9172CC" w:rsidR="00F36D8A" w:rsidRPr="001022D8" w:rsidRDefault="00CC19D9" w:rsidP="00CC19D9">
      <w:pPr>
        <w:jc w:val="both"/>
        <w:rPr>
          <w:rFonts w:asciiTheme="minorHAnsi" w:hAnsiTheme="minorHAnsi"/>
          <w:b/>
          <w:sz w:val="22"/>
          <w:szCs w:val="22"/>
        </w:rPr>
      </w:pPr>
      <w:r w:rsidRPr="001022D8">
        <w:rPr>
          <w:rFonts w:asciiTheme="minorHAnsi" w:hAnsiTheme="minorHAnsi"/>
          <w:sz w:val="22"/>
          <w:szCs w:val="22"/>
        </w:rPr>
        <w:t xml:space="preserve">Ως ημερομηνία και ώρα ηλεκτρονικής αποσφράγισης  των προσφορών ορίζεται η </w:t>
      </w:r>
      <w:r w:rsidR="004C234D">
        <w:rPr>
          <w:rFonts w:asciiTheme="minorHAnsi" w:hAnsiTheme="minorHAnsi"/>
          <w:b/>
          <w:sz w:val="22"/>
          <w:szCs w:val="22"/>
        </w:rPr>
        <w:t>Τρίτη</w:t>
      </w:r>
      <w:r w:rsidR="00257888">
        <w:rPr>
          <w:rFonts w:asciiTheme="minorHAnsi" w:hAnsiTheme="minorHAnsi"/>
          <w:b/>
          <w:sz w:val="22"/>
          <w:szCs w:val="22"/>
        </w:rPr>
        <w:t xml:space="preserve"> </w:t>
      </w:r>
      <w:r w:rsidR="004C234D">
        <w:rPr>
          <w:rFonts w:asciiTheme="minorHAnsi" w:hAnsiTheme="minorHAnsi"/>
          <w:b/>
          <w:sz w:val="22"/>
          <w:szCs w:val="22"/>
        </w:rPr>
        <w:t>26-01-2021</w:t>
      </w:r>
      <w:r w:rsidRPr="001022D8">
        <w:rPr>
          <w:rFonts w:asciiTheme="minorHAnsi" w:hAnsiTheme="minorHAnsi"/>
          <w:b/>
          <w:sz w:val="22"/>
          <w:szCs w:val="22"/>
        </w:rPr>
        <w:t xml:space="preserve"> και ώρα </w:t>
      </w:r>
      <w:r w:rsidR="002C1F27">
        <w:rPr>
          <w:rFonts w:asciiTheme="minorHAnsi" w:hAnsiTheme="minorHAnsi"/>
          <w:b/>
          <w:sz w:val="22"/>
          <w:szCs w:val="22"/>
        </w:rPr>
        <w:t>09</w:t>
      </w:r>
      <w:r w:rsidRPr="001022D8">
        <w:rPr>
          <w:rFonts w:asciiTheme="minorHAnsi" w:hAnsiTheme="minorHAnsi"/>
          <w:b/>
          <w:sz w:val="22"/>
          <w:szCs w:val="22"/>
        </w:rPr>
        <w:t>:00 π.μ.</w:t>
      </w:r>
    </w:p>
    <w:p w14:paraId="1372F5A0" w14:textId="77777777" w:rsidR="00CC19D9" w:rsidRPr="001022D8" w:rsidRDefault="00CC19D9" w:rsidP="00CC19D9">
      <w:pPr>
        <w:jc w:val="both"/>
        <w:rPr>
          <w:rFonts w:asciiTheme="minorHAnsi" w:hAnsiTheme="minorHAnsi"/>
          <w:sz w:val="22"/>
          <w:szCs w:val="22"/>
        </w:rPr>
      </w:pPr>
    </w:p>
    <w:p w14:paraId="3C45C8C0" w14:textId="77777777" w:rsidR="0075341F" w:rsidRPr="001022D8" w:rsidRDefault="00CC19D9" w:rsidP="00CC19D9">
      <w:pPr>
        <w:jc w:val="both"/>
        <w:rPr>
          <w:rFonts w:asciiTheme="minorHAnsi" w:hAnsiTheme="minorHAnsi"/>
          <w:sz w:val="22"/>
          <w:szCs w:val="22"/>
        </w:rPr>
      </w:pPr>
      <w:r w:rsidRPr="001022D8">
        <w:rPr>
          <w:rFonts w:asciiTheme="minorHAnsi" w:hAnsiTheme="minorHAnsi"/>
          <w:sz w:val="22"/>
          <w:szCs w:val="22"/>
        </w:rPr>
        <w:t xml:space="preserve">4. Οι ενδιαφερόμενοι μπορούν να έχουν πρόσβαση στη διακήρυξη και τα τεύχη δημοπράτησης στον ειδικό, δημόσια </w:t>
      </w:r>
      <w:proofErr w:type="spellStart"/>
      <w:r w:rsidRPr="001022D8">
        <w:rPr>
          <w:rFonts w:asciiTheme="minorHAnsi" w:hAnsiTheme="minorHAnsi"/>
          <w:sz w:val="22"/>
          <w:szCs w:val="22"/>
        </w:rPr>
        <w:t>προσβάσιμο</w:t>
      </w:r>
      <w:proofErr w:type="spellEnd"/>
      <w:r w:rsidRPr="001022D8">
        <w:rPr>
          <w:rFonts w:asciiTheme="minorHAnsi" w:hAnsiTheme="minorHAnsi"/>
          <w:sz w:val="22"/>
          <w:szCs w:val="22"/>
        </w:rPr>
        <w:t xml:space="preserve"> χώρο της πύλης, καθώς και στην ιστοσελίδα του ∆</w:t>
      </w:r>
      <w:proofErr w:type="spellStart"/>
      <w:r w:rsidRPr="001022D8">
        <w:rPr>
          <w:rFonts w:asciiTheme="minorHAnsi" w:hAnsiTheme="minorHAnsi"/>
          <w:sz w:val="22"/>
          <w:szCs w:val="22"/>
        </w:rPr>
        <w:t>ήµου</w:t>
      </w:r>
      <w:proofErr w:type="spellEnd"/>
      <w:r w:rsidRPr="001022D8">
        <w:rPr>
          <w:rFonts w:asciiTheme="minorHAnsi" w:hAnsiTheme="minorHAnsi"/>
          <w:sz w:val="22"/>
          <w:szCs w:val="22"/>
        </w:rPr>
        <w:t xml:space="preserve"> Σπάρτης, </w:t>
      </w:r>
      <w:hyperlink r:id="rId8" w:history="1">
        <w:r w:rsidR="0075341F" w:rsidRPr="001022D8">
          <w:rPr>
            <w:rStyle w:val="-"/>
            <w:rFonts w:asciiTheme="minorHAnsi" w:hAnsiTheme="minorHAnsi"/>
            <w:sz w:val="22"/>
            <w:szCs w:val="22"/>
            <w:lang w:val="en-US"/>
          </w:rPr>
          <w:t>www</w:t>
        </w:r>
        <w:r w:rsidR="0075341F" w:rsidRPr="001022D8">
          <w:rPr>
            <w:rStyle w:val="-"/>
            <w:rFonts w:asciiTheme="minorHAnsi" w:hAnsiTheme="minorHAnsi"/>
            <w:sz w:val="22"/>
            <w:szCs w:val="22"/>
          </w:rPr>
          <w:t>.</w:t>
        </w:r>
        <w:proofErr w:type="spellStart"/>
        <w:r w:rsidR="0075341F" w:rsidRPr="001022D8">
          <w:rPr>
            <w:rStyle w:val="-"/>
            <w:rFonts w:asciiTheme="minorHAnsi" w:hAnsiTheme="minorHAnsi"/>
            <w:sz w:val="22"/>
            <w:szCs w:val="22"/>
            <w:lang w:val="en-US"/>
          </w:rPr>
          <w:t>sparti</w:t>
        </w:r>
        <w:proofErr w:type="spellEnd"/>
        <w:r w:rsidR="0075341F" w:rsidRPr="001022D8">
          <w:rPr>
            <w:rStyle w:val="-"/>
            <w:rFonts w:asciiTheme="minorHAnsi" w:hAnsiTheme="minorHAnsi"/>
            <w:sz w:val="22"/>
            <w:szCs w:val="22"/>
          </w:rPr>
          <w:t>.</w:t>
        </w:r>
        <w:r w:rsidR="0075341F" w:rsidRPr="001022D8">
          <w:rPr>
            <w:rStyle w:val="-"/>
            <w:rFonts w:asciiTheme="minorHAnsi" w:hAnsiTheme="minorHAnsi"/>
            <w:sz w:val="22"/>
            <w:szCs w:val="22"/>
            <w:lang w:val="en-US"/>
          </w:rPr>
          <w:t>gov</w:t>
        </w:r>
        <w:r w:rsidR="0075341F" w:rsidRPr="001022D8">
          <w:rPr>
            <w:rStyle w:val="-"/>
            <w:rFonts w:asciiTheme="minorHAnsi" w:hAnsiTheme="minorHAnsi"/>
            <w:sz w:val="22"/>
            <w:szCs w:val="22"/>
          </w:rPr>
          <w:t>.</w:t>
        </w:r>
        <w:r w:rsidR="0075341F" w:rsidRPr="001022D8">
          <w:rPr>
            <w:rStyle w:val="-"/>
            <w:rFonts w:asciiTheme="minorHAnsi" w:hAnsiTheme="minorHAnsi"/>
            <w:sz w:val="22"/>
            <w:szCs w:val="22"/>
            <w:lang w:val="en-US"/>
          </w:rPr>
          <w:t>gr</w:t>
        </w:r>
      </w:hyperlink>
      <w:r w:rsidR="0075341F" w:rsidRPr="001022D8">
        <w:rPr>
          <w:rFonts w:asciiTheme="minorHAnsi" w:hAnsiTheme="minorHAnsi"/>
          <w:sz w:val="22"/>
          <w:szCs w:val="22"/>
        </w:rPr>
        <w:t>.</w:t>
      </w:r>
    </w:p>
    <w:p w14:paraId="5C334E7B" w14:textId="77777777" w:rsidR="0075341F" w:rsidRPr="001022D8" w:rsidRDefault="0075341F" w:rsidP="00CC19D9">
      <w:pPr>
        <w:jc w:val="both"/>
        <w:rPr>
          <w:rFonts w:asciiTheme="minorHAnsi" w:hAnsiTheme="minorHAnsi"/>
          <w:sz w:val="22"/>
          <w:szCs w:val="22"/>
        </w:rPr>
      </w:pPr>
    </w:p>
    <w:p w14:paraId="3756B1A1" w14:textId="77777777" w:rsidR="00306038" w:rsidRPr="006A5642" w:rsidRDefault="0075341F" w:rsidP="00306038">
      <w:pPr>
        <w:pStyle w:val="31"/>
        <w:tabs>
          <w:tab w:val="left" w:pos="-3000"/>
        </w:tabs>
        <w:ind w:left="0"/>
        <w:rPr>
          <w:rFonts w:ascii="Cambria" w:hAnsi="Cambria" w:cs="Calibri"/>
          <w:sz w:val="22"/>
          <w:szCs w:val="22"/>
        </w:rPr>
      </w:pPr>
      <w:r w:rsidRPr="001022D8">
        <w:rPr>
          <w:rFonts w:asciiTheme="minorHAnsi" w:hAnsiTheme="minorHAnsi"/>
          <w:sz w:val="22"/>
          <w:szCs w:val="22"/>
        </w:rPr>
        <w:t xml:space="preserve">5.  </w:t>
      </w:r>
      <w:r w:rsidR="00306038" w:rsidRPr="006A5642">
        <w:rPr>
          <w:rFonts w:ascii="Cambria" w:hAnsi="Cambria" w:cs="Calibri"/>
          <w:sz w:val="22"/>
          <w:szCs w:val="22"/>
        </w:rPr>
        <w:t xml:space="preserve">Δικαίωμα συμμετοχής έχουν φυσικά ή νομικά πρόσωπα, ή ενώσεις </w:t>
      </w:r>
      <w:r w:rsidR="00306038" w:rsidRPr="006A5642">
        <w:rPr>
          <w:rFonts w:ascii="Cambria" w:hAnsi="Cambria" w:cs="Calibri"/>
          <w:sz w:val="22"/>
          <w:szCs w:val="22"/>
          <w:lang w:bidi="en-US"/>
        </w:rPr>
        <w:t>αυτών</w:t>
      </w:r>
      <w:r w:rsidR="00306038" w:rsidRPr="006A5642">
        <w:rPr>
          <w:rFonts w:ascii="Cambria" w:hAnsi="Cambria" w:cs="Calibri"/>
          <w:sz w:val="22"/>
          <w:szCs w:val="22"/>
          <w:vertAlign w:val="superscript"/>
          <w:lang w:bidi="en-US"/>
        </w:rPr>
        <w:t xml:space="preserve"> </w:t>
      </w:r>
      <w:r w:rsidR="00306038" w:rsidRPr="006A5642">
        <w:rPr>
          <w:rFonts w:ascii="Cambria" w:hAnsi="Cambria" w:cs="Calibri"/>
          <w:sz w:val="22"/>
          <w:szCs w:val="22"/>
          <w:vertAlign w:val="superscript"/>
          <w:lang w:bidi="en-US"/>
        </w:rPr>
        <w:endnoteReference w:id="1"/>
      </w:r>
      <w:r w:rsidR="00306038" w:rsidRPr="006A5642">
        <w:rPr>
          <w:rFonts w:ascii="Cambria" w:hAnsi="Cambria" w:cs="Calibri"/>
          <w:sz w:val="22"/>
          <w:szCs w:val="22"/>
        </w:rPr>
        <w:t xml:space="preserve"> που δραστηριοποιούνται </w:t>
      </w:r>
      <w:r w:rsidR="00306038" w:rsidRPr="00B5193F">
        <w:rPr>
          <w:rFonts w:ascii="Cambria" w:hAnsi="Cambria" w:cs="Tahoma"/>
          <w:b/>
          <w:sz w:val="22"/>
          <w:szCs w:val="22"/>
        </w:rPr>
        <w:t>στ</w:t>
      </w:r>
      <w:r w:rsidR="00306038">
        <w:rPr>
          <w:rFonts w:ascii="Cambria" w:hAnsi="Cambria" w:cs="Tahoma"/>
          <w:b/>
          <w:sz w:val="22"/>
          <w:szCs w:val="22"/>
        </w:rPr>
        <w:t>ις</w:t>
      </w:r>
      <w:r w:rsidR="00306038" w:rsidRPr="00B5193F">
        <w:rPr>
          <w:rFonts w:ascii="Cambria" w:hAnsi="Cambria" w:cs="Tahoma"/>
          <w:b/>
          <w:sz w:val="22"/>
          <w:szCs w:val="22"/>
        </w:rPr>
        <w:t xml:space="preserve"> κατηγορί</w:t>
      </w:r>
      <w:r w:rsidR="00306038">
        <w:rPr>
          <w:rFonts w:ascii="Cambria" w:hAnsi="Cambria" w:cs="Tahoma"/>
          <w:b/>
          <w:sz w:val="22"/>
          <w:szCs w:val="22"/>
        </w:rPr>
        <w:t>ες των</w:t>
      </w:r>
      <w:r w:rsidR="00306038" w:rsidRPr="00B5193F">
        <w:rPr>
          <w:rFonts w:ascii="Cambria" w:hAnsi="Cambria" w:cs="Tahoma"/>
          <w:b/>
          <w:sz w:val="22"/>
          <w:szCs w:val="22"/>
        </w:rPr>
        <w:t xml:space="preserve"> </w:t>
      </w:r>
      <w:r w:rsidR="003B3A49">
        <w:rPr>
          <w:rFonts w:ascii="Cambria" w:hAnsi="Cambria" w:cs="Cambria"/>
          <w:b/>
          <w:sz w:val="22"/>
          <w:szCs w:val="22"/>
        </w:rPr>
        <w:t>ΕΡΓΩΝ ΟΔΟΠΟΙΙΑΣ</w:t>
      </w:r>
      <w:r w:rsidR="00306038" w:rsidRPr="00B5193F">
        <w:rPr>
          <w:rFonts w:ascii="Cambria" w:hAnsi="Cambria" w:cs="Tahoma"/>
          <w:b/>
          <w:sz w:val="22"/>
          <w:szCs w:val="22"/>
        </w:rPr>
        <w:t xml:space="preserve"> </w:t>
      </w:r>
      <w:r w:rsidR="00306038">
        <w:rPr>
          <w:rFonts w:ascii="Cambria" w:hAnsi="Cambria" w:cs="Tahoma"/>
          <w:b/>
          <w:sz w:val="22"/>
          <w:szCs w:val="22"/>
        </w:rPr>
        <w:t xml:space="preserve">και ΗΛΕΚΤΡΟΜΗΧΑΝΟΛΟΓΙΚΩΝ </w:t>
      </w:r>
      <w:r w:rsidR="00306038" w:rsidRPr="00B5193F">
        <w:rPr>
          <w:rFonts w:ascii="Cambria" w:hAnsi="Cambria" w:cs="Tahoma"/>
          <w:b/>
          <w:sz w:val="22"/>
          <w:szCs w:val="22"/>
        </w:rPr>
        <w:t>ΕΡΓΩΝ</w:t>
      </w:r>
      <w:r w:rsidR="00306038" w:rsidRPr="006A5642">
        <w:rPr>
          <w:rFonts w:ascii="Cambria" w:hAnsi="Cambria" w:cs="Calibri"/>
          <w:sz w:val="22"/>
          <w:szCs w:val="22"/>
        </w:rPr>
        <w:t xml:space="preserve">    </w:t>
      </w:r>
      <w:r w:rsidR="00306038" w:rsidRPr="006A5642">
        <w:rPr>
          <w:rStyle w:val="2"/>
          <w:rFonts w:ascii="Cambria" w:hAnsi="Cambria" w:cs="Calibri"/>
          <w:sz w:val="22"/>
          <w:szCs w:val="22"/>
        </w:rPr>
        <w:endnoteReference w:id="2"/>
      </w:r>
      <w:r w:rsidR="00306038" w:rsidRPr="006A5642">
        <w:rPr>
          <w:rFonts w:ascii="Cambria" w:hAnsi="Cambria" w:cs="Calibri"/>
          <w:sz w:val="22"/>
          <w:szCs w:val="22"/>
        </w:rPr>
        <w:t>και που είναι εγκατεστημένα σε:</w:t>
      </w:r>
    </w:p>
    <w:p w14:paraId="13E94B60" w14:textId="77777777" w:rsidR="00306038" w:rsidRPr="006A5642" w:rsidRDefault="00306038" w:rsidP="00306038">
      <w:pPr>
        <w:pStyle w:val="31"/>
        <w:tabs>
          <w:tab w:val="left" w:pos="-3000"/>
        </w:tabs>
        <w:ind w:left="0"/>
        <w:rPr>
          <w:rFonts w:ascii="Cambria" w:hAnsi="Cambria" w:cs="Calibri"/>
          <w:sz w:val="22"/>
          <w:szCs w:val="22"/>
        </w:rPr>
      </w:pPr>
      <w:r w:rsidRPr="006A5642">
        <w:rPr>
          <w:rFonts w:ascii="Cambria" w:hAnsi="Cambria" w:cs="Calibri"/>
          <w:sz w:val="22"/>
          <w:szCs w:val="22"/>
        </w:rPr>
        <w:t>α) σε κράτος-μέλος της Ένωσης,</w:t>
      </w:r>
    </w:p>
    <w:p w14:paraId="77FD6C33" w14:textId="77777777" w:rsidR="00306038" w:rsidRPr="006A5642" w:rsidRDefault="00306038" w:rsidP="00306038">
      <w:pPr>
        <w:pStyle w:val="31"/>
        <w:tabs>
          <w:tab w:val="left" w:pos="-3000"/>
        </w:tabs>
        <w:ind w:left="0"/>
        <w:rPr>
          <w:rFonts w:ascii="Cambria" w:hAnsi="Cambria" w:cs="Calibri"/>
          <w:sz w:val="22"/>
          <w:szCs w:val="22"/>
        </w:rPr>
      </w:pPr>
      <w:r w:rsidRPr="006A5642">
        <w:rPr>
          <w:rFonts w:ascii="Cambria" w:hAnsi="Cambria" w:cs="Calibri"/>
          <w:sz w:val="22"/>
          <w:szCs w:val="22"/>
        </w:rPr>
        <w:t>β) σε κράτος-μέλος του Ευρωπαϊκού Οικονομικού Χώρου (Ε.Ο.Χ.),</w:t>
      </w:r>
    </w:p>
    <w:p w14:paraId="502CE7EC" w14:textId="77777777" w:rsidR="00306038" w:rsidRPr="006A5642" w:rsidRDefault="00306038" w:rsidP="00306038">
      <w:pPr>
        <w:pStyle w:val="31"/>
        <w:tabs>
          <w:tab w:val="left" w:pos="-3000"/>
        </w:tabs>
        <w:ind w:left="0"/>
        <w:rPr>
          <w:rFonts w:ascii="Cambria" w:hAnsi="Cambria" w:cs="Calibri"/>
          <w:b/>
          <w:sz w:val="22"/>
          <w:szCs w:val="22"/>
        </w:rPr>
      </w:pPr>
      <w:r w:rsidRPr="006A5642">
        <w:rPr>
          <w:rFonts w:ascii="Cambria" w:hAnsi="Cambria" w:cs="Calibri"/>
          <w:sz w:val="22"/>
          <w:szCs w:val="22"/>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r w:rsidRPr="006A5642">
        <w:rPr>
          <w:rFonts w:ascii="Cambria" w:hAnsi="Cambria" w:cs="Calibri"/>
          <w:sz w:val="22"/>
          <w:szCs w:val="22"/>
        </w:rPr>
        <w:b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65CA2B43" w14:textId="77777777" w:rsidR="00306038" w:rsidRPr="006A5642" w:rsidRDefault="00306038" w:rsidP="00306038">
      <w:pPr>
        <w:pStyle w:val="31"/>
        <w:tabs>
          <w:tab w:val="left" w:pos="-3000"/>
        </w:tabs>
        <w:spacing w:line="240" w:lineRule="auto"/>
        <w:ind w:left="0"/>
        <w:rPr>
          <w:rFonts w:ascii="Cambria" w:hAnsi="Cambria" w:cs="Calibri"/>
          <w:b/>
          <w:sz w:val="22"/>
          <w:szCs w:val="22"/>
        </w:rPr>
      </w:pPr>
    </w:p>
    <w:p w14:paraId="17EAA413" w14:textId="77777777" w:rsidR="00306038" w:rsidRPr="006A5642" w:rsidRDefault="00306038" w:rsidP="00306038">
      <w:pPr>
        <w:pStyle w:val="31"/>
        <w:tabs>
          <w:tab w:val="left" w:pos="-3000"/>
        </w:tabs>
        <w:spacing w:line="240" w:lineRule="auto"/>
        <w:ind w:left="0"/>
        <w:rPr>
          <w:rFonts w:ascii="Cambria" w:hAnsi="Cambria" w:cs="Calibri"/>
          <w:b/>
          <w:sz w:val="22"/>
          <w:szCs w:val="22"/>
        </w:rPr>
      </w:pPr>
      <w:r w:rsidRPr="006A5642">
        <w:rPr>
          <w:rFonts w:ascii="Cambria" w:hAnsi="Cambria" w:cs="Calibri"/>
          <w:sz w:val="22"/>
          <w:szCs w:val="22"/>
        </w:rPr>
        <w:t>Οικονομικός φορέας συμμετέχει είτε μεμονωμένα είτε ως μέλος ένωσης.</w:t>
      </w:r>
      <w:r w:rsidRPr="006A5642">
        <w:rPr>
          <w:rStyle w:val="2"/>
          <w:rFonts w:ascii="Cambria" w:hAnsi="Cambria" w:cs="Calibri"/>
          <w:sz w:val="22"/>
          <w:szCs w:val="22"/>
        </w:rPr>
        <w:endnoteReference w:id="3"/>
      </w:r>
      <w:r w:rsidRPr="006A5642">
        <w:rPr>
          <w:rStyle w:val="a4"/>
          <w:rFonts w:ascii="Cambria" w:hAnsi="Cambria" w:cs="Calibri"/>
          <w:sz w:val="22"/>
          <w:szCs w:val="22"/>
        </w:rPr>
        <w:t>,</w:t>
      </w:r>
    </w:p>
    <w:p w14:paraId="1FA5349C" w14:textId="77777777" w:rsidR="00306038" w:rsidRPr="006A5642" w:rsidRDefault="00306038" w:rsidP="00306038">
      <w:pPr>
        <w:pStyle w:val="31"/>
        <w:tabs>
          <w:tab w:val="left" w:pos="-3000"/>
        </w:tabs>
        <w:ind w:left="0"/>
        <w:rPr>
          <w:rFonts w:ascii="Cambria" w:hAnsi="Cambria" w:cs="Calibri"/>
          <w:b/>
          <w:sz w:val="22"/>
          <w:szCs w:val="22"/>
        </w:rPr>
      </w:pPr>
    </w:p>
    <w:p w14:paraId="1FE017FF" w14:textId="77777777" w:rsidR="00306038" w:rsidRPr="006A5642" w:rsidRDefault="00306038" w:rsidP="00306038">
      <w:pPr>
        <w:pStyle w:val="31"/>
        <w:tabs>
          <w:tab w:val="left" w:pos="-3000"/>
        </w:tabs>
        <w:ind w:left="0"/>
        <w:rPr>
          <w:rFonts w:ascii="Cambria" w:hAnsi="Cambria" w:cs="Calibri"/>
          <w:sz w:val="22"/>
          <w:szCs w:val="22"/>
        </w:rPr>
      </w:pPr>
      <w:r w:rsidRPr="006A5642">
        <w:rPr>
          <w:rFonts w:ascii="Cambria" w:hAnsi="Cambria" w:cs="Calibri"/>
          <w:sz w:val="22"/>
          <w:szCs w:val="22"/>
        </w:rPr>
        <w:t>Οι ενώσεις</w:t>
      </w:r>
      <w:r w:rsidRPr="006A5642">
        <w:rPr>
          <w:rFonts w:ascii="Cambria" w:hAnsi="Cambria" w:cs="Calibri"/>
          <w:b/>
          <w:sz w:val="22"/>
          <w:szCs w:val="22"/>
        </w:rPr>
        <w:t xml:space="preserve"> </w:t>
      </w:r>
      <w:r w:rsidRPr="006A5642">
        <w:rPr>
          <w:rFonts w:ascii="Cambria" w:hAnsi="Cambria" w:cs="Calibri"/>
          <w:sz w:val="22"/>
          <w:szCs w:val="22"/>
        </w:rPr>
        <w:t xml:space="preserve">οικονομικών φορέων συμμετέχουν υπό τους όρους των παρ. 2, 3 και 4 του άρθρου 19 και των παρ. 1 (ε)  και 3 (β)του άρθρου 76  του ν. 4412/2016. </w:t>
      </w:r>
    </w:p>
    <w:p w14:paraId="73054483" w14:textId="77777777" w:rsidR="00CC19D9" w:rsidRPr="001022D8" w:rsidRDefault="00306038" w:rsidP="00306038">
      <w:pPr>
        <w:jc w:val="both"/>
        <w:rPr>
          <w:rFonts w:asciiTheme="minorHAnsi" w:hAnsiTheme="minorHAnsi"/>
          <w:sz w:val="22"/>
          <w:szCs w:val="22"/>
        </w:rPr>
      </w:pPr>
      <w:r w:rsidRPr="006A5642">
        <w:rPr>
          <w:rFonts w:ascii="Cambria" w:hAnsi="Cambria" w:cs="Calibri"/>
          <w:sz w:val="22"/>
          <w:szCs w:val="22"/>
        </w:rP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14:paraId="2C223C3E" w14:textId="77777777" w:rsidR="00A651AD" w:rsidRPr="001022D8" w:rsidRDefault="00A651AD" w:rsidP="00CF7103">
      <w:pPr>
        <w:jc w:val="both"/>
        <w:rPr>
          <w:rFonts w:asciiTheme="minorHAnsi" w:hAnsiTheme="minorHAnsi"/>
          <w:sz w:val="22"/>
          <w:szCs w:val="22"/>
        </w:rPr>
      </w:pPr>
    </w:p>
    <w:p w14:paraId="386DEAAB" w14:textId="7964154D" w:rsidR="00A651AD" w:rsidRPr="001022D8" w:rsidRDefault="00A651AD" w:rsidP="00CF7103">
      <w:pPr>
        <w:jc w:val="both"/>
        <w:rPr>
          <w:rFonts w:asciiTheme="minorHAnsi" w:hAnsiTheme="minorHAnsi"/>
          <w:sz w:val="22"/>
          <w:szCs w:val="22"/>
        </w:rPr>
      </w:pPr>
      <w:r w:rsidRPr="001022D8">
        <w:rPr>
          <w:rFonts w:asciiTheme="minorHAnsi" w:hAnsiTheme="minorHAnsi"/>
          <w:sz w:val="22"/>
          <w:szCs w:val="22"/>
        </w:rPr>
        <w:t xml:space="preserve">6. Για τη συμμετοχή στο διαγωνισμό απαιτείται η κατάθεση εγγυητικής επιστολής ύψους </w:t>
      </w:r>
      <w:r w:rsidR="008E7682">
        <w:rPr>
          <w:rFonts w:asciiTheme="minorHAnsi" w:hAnsiTheme="minorHAnsi" w:cs="Calibri"/>
          <w:b/>
          <w:sz w:val="22"/>
          <w:szCs w:val="22"/>
        </w:rPr>
        <w:t>14.690,00</w:t>
      </w:r>
      <w:r w:rsidRPr="001022D8">
        <w:rPr>
          <w:rFonts w:asciiTheme="minorHAnsi" w:hAnsiTheme="minorHAnsi" w:cs="Calibri"/>
          <w:b/>
          <w:sz w:val="22"/>
          <w:szCs w:val="22"/>
        </w:rPr>
        <w:t xml:space="preserve"> €</w:t>
      </w:r>
      <w:r w:rsidRPr="001022D8">
        <w:rPr>
          <w:rFonts w:asciiTheme="minorHAnsi" w:hAnsiTheme="minorHAnsi"/>
          <w:sz w:val="22"/>
          <w:szCs w:val="22"/>
        </w:rPr>
        <w:t xml:space="preserve"> που θα απευθύνεται προς το Δήμο Σπ</w:t>
      </w:r>
      <w:r w:rsidR="00453264">
        <w:rPr>
          <w:rFonts w:asciiTheme="minorHAnsi" w:hAnsiTheme="minorHAnsi"/>
          <w:sz w:val="22"/>
          <w:szCs w:val="22"/>
        </w:rPr>
        <w:t>άρτης, με ισχύ τουλάχιστον  επτά (7</w:t>
      </w:r>
      <w:r w:rsidRPr="001022D8">
        <w:rPr>
          <w:rFonts w:asciiTheme="minorHAnsi" w:hAnsiTheme="minorHAnsi"/>
          <w:sz w:val="22"/>
          <w:szCs w:val="22"/>
        </w:rPr>
        <w:t xml:space="preserve">) μηνών και τριάντα (30) ημερών, μετά την ημέρα λήξης υποβολής των προσφορών, ήτοι </w:t>
      </w:r>
      <w:r w:rsidR="001022D8" w:rsidRPr="001022D8">
        <w:rPr>
          <w:rFonts w:asciiTheme="minorHAnsi" w:hAnsiTheme="minorHAnsi"/>
          <w:sz w:val="22"/>
          <w:szCs w:val="22"/>
        </w:rPr>
        <w:t xml:space="preserve">με ισχύ </w:t>
      </w:r>
      <w:r w:rsidRPr="001022D8">
        <w:rPr>
          <w:rFonts w:asciiTheme="minorHAnsi" w:hAnsiTheme="minorHAnsi"/>
          <w:sz w:val="22"/>
          <w:szCs w:val="22"/>
        </w:rPr>
        <w:t xml:space="preserve">μέχρι </w:t>
      </w:r>
      <w:r w:rsidR="004C234D">
        <w:rPr>
          <w:rFonts w:asciiTheme="minorHAnsi" w:hAnsiTheme="minorHAnsi"/>
          <w:b/>
          <w:sz w:val="22"/>
          <w:szCs w:val="22"/>
        </w:rPr>
        <w:t>21-09-</w:t>
      </w:r>
      <w:r w:rsidR="002C1F27">
        <w:rPr>
          <w:rFonts w:asciiTheme="minorHAnsi" w:hAnsiTheme="minorHAnsi"/>
          <w:b/>
          <w:sz w:val="22"/>
          <w:szCs w:val="22"/>
        </w:rPr>
        <w:t>2021</w:t>
      </w:r>
      <w:r w:rsidRPr="001022D8">
        <w:rPr>
          <w:rFonts w:asciiTheme="minorHAnsi" w:hAnsiTheme="minorHAnsi"/>
          <w:sz w:val="22"/>
          <w:szCs w:val="22"/>
        </w:rPr>
        <w:t xml:space="preserve"> </w:t>
      </w:r>
    </w:p>
    <w:p w14:paraId="6BD07B49" w14:textId="77777777" w:rsidR="00A651AD" w:rsidRPr="001022D8" w:rsidRDefault="00A651AD" w:rsidP="00CF7103">
      <w:pPr>
        <w:jc w:val="both"/>
        <w:rPr>
          <w:rFonts w:asciiTheme="minorHAnsi" w:hAnsiTheme="minorHAnsi"/>
          <w:sz w:val="22"/>
          <w:szCs w:val="22"/>
        </w:rPr>
      </w:pPr>
      <w:r w:rsidRPr="001022D8">
        <w:rPr>
          <w:rFonts w:asciiTheme="minorHAnsi" w:hAnsiTheme="minorHAnsi"/>
          <w:sz w:val="22"/>
          <w:szCs w:val="22"/>
        </w:rPr>
        <w:t xml:space="preserve">Ο χρόνος </w:t>
      </w:r>
      <w:r w:rsidR="00356CB5">
        <w:rPr>
          <w:rFonts w:asciiTheme="minorHAnsi" w:hAnsiTheme="minorHAnsi"/>
          <w:sz w:val="22"/>
          <w:szCs w:val="22"/>
        </w:rPr>
        <w:t>ισχύος των προσφορών είναι επτά (7</w:t>
      </w:r>
      <w:r w:rsidRPr="001022D8">
        <w:rPr>
          <w:rFonts w:asciiTheme="minorHAnsi" w:hAnsiTheme="minorHAnsi"/>
          <w:sz w:val="22"/>
          <w:szCs w:val="22"/>
        </w:rPr>
        <w:t>) μήνες.</w:t>
      </w:r>
    </w:p>
    <w:p w14:paraId="38167F34" w14:textId="77777777" w:rsidR="001022D8" w:rsidRPr="001022D8" w:rsidRDefault="001022D8" w:rsidP="00CF7103">
      <w:pPr>
        <w:jc w:val="both"/>
        <w:rPr>
          <w:rFonts w:asciiTheme="minorHAnsi" w:hAnsiTheme="minorHAnsi"/>
          <w:sz w:val="22"/>
          <w:szCs w:val="22"/>
        </w:rPr>
      </w:pPr>
    </w:p>
    <w:p w14:paraId="521AC615" w14:textId="77777777" w:rsidR="001022D8" w:rsidRPr="001022D8" w:rsidRDefault="001022D8" w:rsidP="001022D8">
      <w:pPr>
        <w:jc w:val="both"/>
        <w:rPr>
          <w:rFonts w:asciiTheme="minorHAnsi" w:hAnsiTheme="minorHAnsi"/>
          <w:sz w:val="22"/>
          <w:szCs w:val="22"/>
        </w:rPr>
      </w:pPr>
      <w:r w:rsidRPr="001022D8">
        <w:rPr>
          <w:rFonts w:asciiTheme="minorHAnsi" w:hAnsiTheme="minorHAnsi"/>
          <w:sz w:val="22"/>
          <w:szCs w:val="22"/>
        </w:rPr>
        <w:t xml:space="preserve">7. </w:t>
      </w:r>
      <w:r w:rsidR="00306038" w:rsidRPr="00306038">
        <w:rPr>
          <w:rFonts w:asciiTheme="minorHAnsi" w:hAnsiTheme="minorHAnsi"/>
          <w:sz w:val="22"/>
          <w:szCs w:val="22"/>
        </w:rPr>
        <w:t xml:space="preserve">Το έργο χρηματοδοτείται από Πιστώσεις του Προγράμματος Δημοσίων Επενδύσεων της ΣΑΕΠ 1191 (2019ΣΕ11910024). Το </w:t>
      </w:r>
      <w:proofErr w:type="spellStart"/>
      <w:r w:rsidR="00306038" w:rsidRPr="00306038">
        <w:rPr>
          <w:rFonts w:asciiTheme="minorHAnsi" w:hAnsiTheme="minorHAnsi"/>
          <w:sz w:val="22"/>
          <w:szCs w:val="22"/>
        </w:rPr>
        <w:t>υποέργο</w:t>
      </w:r>
      <w:proofErr w:type="spellEnd"/>
      <w:r w:rsidR="00306038" w:rsidRPr="00306038">
        <w:rPr>
          <w:rFonts w:asciiTheme="minorHAnsi" w:hAnsiTheme="minorHAnsi"/>
          <w:sz w:val="22"/>
          <w:szCs w:val="22"/>
        </w:rPr>
        <w:t xml:space="preserve"> 1 «Ανάπλαση Κοινοχρήστων Χώρων Ανοικτού Εμπορίου Σπάρτης» της πράξης «Ανοικτό Κέντρο Εμπορίου Δήμου Σπάρτης» έχει ενταχθεί στον Άξονα Προτεραιότητας «Ανάπτυξη επιχειρηματικότητας με Τομεακές προτεραιότητες» του Ε.Π. «Ανταγωνιστικότητα Επιχειρηματικότητα και Καινοτομία», με βάση την απόφαση ένταξης, με </w:t>
      </w:r>
      <w:proofErr w:type="spellStart"/>
      <w:r w:rsidR="00306038" w:rsidRPr="00306038">
        <w:rPr>
          <w:rFonts w:asciiTheme="minorHAnsi" w:hAnsiTheme="minorHAnsi"/>
          <w:sz w:val="22"/>
          <w:szCs w:val="22"/>
        </w:rPr>
        <w:t>αρ</w:t>
      </w:r>
      <w:proofErr w:type="spellEnd"/>
      <w:r w:rsidR="00306038" w:rsidRPr="00306038">
        <w:rPr>
          <w:rFonts w:asciiTheme="minorHAnsi" w:hAnsiTheme="minorHAnsi"/>
          <w:sz w:val="22"/>
          <w:szCs w:val="22"/>
        </w:rPr>
        <w:t xml:space="preserve">. </w:t>
      </w:r>
      <w:proofErr w:type="spellStart"/>
      <w:r w:rsidR="00306038" w:rsidRPr="00306038">
        <w:rPr>
          <w:rFonts w:asciiTheme="minorHAnsi" w:hAnsiTheme="minorHAnsi"/>
          <w:sz w:val="22"/>
          <w:szCs w:val="22"/>
        </w:rPr>
        <w:t>πρωτ</w:t>
      </w:r>
      <w:proofErr w:type="spellEnd"/>
      <w:r w:rsidR="00306038" w:rsidRPr="00306038">
        <w:rPr>
          <w:rFonts w:asciiTheme="minorHAnsi" w:hAnsiTheme="minorHAnsi"/>
          <w:sz w:val="22"/>
          <w:szCs w:val="22"/>
        </w:rPr>
        <w:t>. 6014/B1/1234/15-10-2019 και έχει λάβει κωδικό ΟΠΣ 5037870</w:t>
      </w:r>
    </w:p>
    <w:p w14:paraId="682DE573" w14:textId="77777777" w:rsidR="001022D8" w:rsidRPr="001022D8" w:rsidRDefault="001022D8" w:rsidP="001022D8">
      <w:pPr>
        <w:jc w:val="both"/>
        <w:rPr>
          <w:rFonts w:asciiTheme="minorHAnsi" w:hAnsiTheme="minorHAnsi"/>
          <w:sz w:val="22"/>
          <w:szCs w:val="22"/>
        </w:rPr>
      </w:pPr>
    </w:p>
    <w:p w14:paraId="43C8541B" w14:textId="77777777" w:rsidR="001022D8" w:rsidRPr="001022D8" w:rsidRDefault="001022D8" w:rsidP="001022D8">
      <w:pPr>
        <w:jc w:val="both"/>
        <w:rPr>
          <w:rFonts w:asciiTheme="minorHAnsi" w:hAnsiTheme="minorHAnsi"/>
          <w:sz w:val="22"/>
          <w:szCs w:val="22"/>
        </w:rPr>
      </w:pPr>
      <w:r w:rsidRPr="001022D8">
        <w:rPr>
          <w:rFonts w:asciiTheme="minorHAnsi" w:hAnsiTheme="minorHAnsi"/>
          <w:sz w:val="22"/>
          <w:szCs w:val="22"/>
        </w:rPr>
        <w:t>8. Δεν προβλέπεται η χορήγησ</w:t>
      </w:r>
      <w:r w:rsidR="004B5EF1">
        <w:rPr>
          <w:rFonts w:asciiTheme="minorHAnsi" w:hAnsiTheme="minorHAnsi"/>
          <w:sz w:val="22"/>
          <w:szCs w:val="22"/>
        </w:rPr>
        <w:t>η προκαταβολής στον Ανάδοχο και επίσης δεν</w:t>
      </w:r>
      <w:r w:rsidRPr="001022D8">
        <w:rPr>
          <w:rFonts w:asciiTheme="minorHAnsi" w:hAnsiTheme="minorHAnsi"/>
          <w:sz w:val="22"/>
          <w:szCs w:val="22"/>
        </w:rPr>
        <w:t xml:space="preserve"> προβλέπεται η πληρωμή πριμ στην παρούσα σύμβαση.   </w:t>
      </w:r>
    </w:p>
    <w:p w14:paraId="774F55CA" w14:textId="77777777" w:rsidR="001022D8" w:rsidRPr="001022D8" w:rsidRDefault="001022D8" w:rsidP="001022D8">
      <w:pPr>
        <w:jc w:val="both"/>
        <w:rPr>
          <w:rFonts w:asciiTheme="minorHAnsi" w:hAnsiTheme="minorHAnsi"/>
          <w:sz w:val="22"/>
          <w:szCs w:val="22"/>
        </w:rPr>
      </w:pPr>
    </w:p>
    <w:p w14:paraId="399B1940" w14:textId="77777777" w:rsidR="001022D8" w:rsidRDefault="001022D8" w:rsidP="001022D8">
      <w:pPr>
        <w:jc w:val="both"/>
        <w:rPr>
          <w:rFonts w:asciiTheme="minorHAnsi" w:hAnsiTheme="minorHAnsi" w:cs="Calibri"/>
          <w:sz w:val="22"/>
          <w:szCs w:val="22"/>
        </w:rPr>
      </w:pPr>
      <w:r w:rsidRPr="001022D8">
        <w:rPr>
          <w:rFonts w:asciiTheme="minorHAnsi" w:hAnsiTheme="minorHAnsi"/>
          <w:sz w:val="22"/>
          <w:szCs w:val="22"/>
        </w:rPr>
        <w:t xml:space="preserve">9. Η συνολική προθεσμία εκτέλεσης του έργου ορίζεται σε </w:t>
      </w:r>
      <w:r w:rsidR="008E7682">
        <w:rPr>
          <w:rFonts w:asciiTheme="minorHAnsi" w:hAnsiTheme="minorHAnsi" w:cs="Calibri"/>
          <w:b/>
          <w:sz w:val="22"/>
          <w:szCs w:val="22"/>
        </w:rPr>
        <w:t>διακόσες εβδομήντα</w:t>
      </w:r>
      <w:r w:rsidRPr="001022D8">
        <w:rPr>
          <w:rFonts w:asciiTheme="minorHAnsi" w:hAnsiTheme="minorHAnsi" w:cs="Calibri"/>
          <w:sz w:val="22"/>
          <w:szCs w:val="22"/>
        </w:rPr>
        <w:t xml:space="preserve"> (</w:t>
      </w:r>
      <w:r w:rsidR="008E7682">
        <w:rPr>
          <w:rFonts w:asciiTheme="minorHAnsi" w:hAnsiTheme="minorHAnsi" w:cs="Calibri"/>
          <w:b/>
          <w:sz w:val="22"/>
          <w:szCs w:val="22"/>
          <w:u w:val="single"/>
        </w:rPr>
        <w:t>270</w:t>
      </w:r>
      <w:r w:rsidRPr="001022D8">
        <w:rPr>
          <w:rFonts w:asciiTheme="minorHAnsi" w:hAnsiTheme="minorHAnsi" w:cs="Calibri"/>
          <w:b/>
          <w:sz w:val="22"/>
          <w:szCs w:val="22"/>
          <w:u w:val="single"/>
        </w:rPr>
        <w:t>) ημερολογιακές  ημέρες</w:t>
      </w:r>
      <w:r w:rsidRPr="001022D8">
        <w:rPr>
          <w:rFonts w:asciiTheme="minorHAnsi" w:hAnsiTheme="minorHAnsi" w:cs="Calibri"/>
          <w:sz w:val="22"/>
          <w:szCs w:val="22"/>
        </w:rPr>
        <w:t xml:space="preserve">  από την ημέρα υπογραφής της σύμβασης.</w:t>
      </w:r>
    </w:p>
    <w:p w14:paraId="0E247143" w14:textId="77777777" w:rsidR="00260FAA" w:rsidRDefault="00260FAA" w:rsidP="001022D8">
      <w:pPr>
        <w:jc w:val="both"/>
        <w:rPr>
          <w:rFonts w:asciiTheme="minorHAnsi" w:hAnsiTheme="minorHAnsi" w:cs="Calibri"/>
          <w:sz w:val="22"/>
          <w:szCs w:val="22"/>
        </w:rPr>
      </w:pPr>
    </w:p>
    <w:p w14:paraId="2719D5FB" w14:textId="77777777" w:rsidR="00260FAA" w:rsidRPr="003832E5" w:rsidRDefault="00260FAA" w:rsidP="001022D8">
      <w:pPr>
        <w:jc w:val="both"/>
        <w:rPr>
          <w:rFonts w:asciiTheme="minorHAnsi" w:hAnsiTheme="minorHAnsi" w:cs="Calibri"/>
          <w:sz w:val="22"/>
          <w:szCs w:val="22"/>
        </w:rPr>
      </w:pPr>
      <w:r w:rsidRPr="003832E5">
        <w:rPr>
          <w:rFonts w:asciiTheme="minorHAnsi" w:hAnsiTheme="minorHAnsi" w:cs="Calibri"/>
          <w:sz w:val="22"/>
          <w:szCs w:val="22"/>
        </w:rPr>
        <w:t xml:space="preserve">10. </w:t>
      </w:r>
      <w:r w:rsidRPr="003832E5">
        <w:rPr>
          <w:rFonts w:asciiTheme="minorHAnsi" w:hAnsiTheme="minorHAnsi"/>
          <w:sz w:val="22"/>
          <w:szCs w:val="22"/>
        </w:rPr>
        <w:t>Υπάρχει η δυνατότητα χρησιμοποίησης των «επί έλασσον» δαπανών, η διαχείριση των οποίων θα ακολουθεί τις προβλέψεις της υφιστάμενης νομοθεσίας (άρθρα 132 και 156 του Ν.4412/2016).</w:t>
      </w:r>
    </w:p>
    <w:p w14:paraId="2532D254" w14:textId="77777777" w:rsidR="001022D8" w:rsidRPr="001022D8" w:rsidRDefault="001022D8" w:rsidP="001022D8">
      <w:pPr>
        <w:jc w:val="both"/>
        <w:rPr>
          <w:rFonts w:asciiTheme="minorHAnsi" w:hAnsiTheme="minorHAnsi"/>
          <w:sz w:val="22"/>
          <w:szCs w:val="22"/>
        </w:rPr>
      </w:pPr>
    </w:p>
    <w:p w14:paraId="29BBB9AF" w14:textId="77777777" w:rsidR="001022D8" w:rsidRDefault="00260FAA" w:rsidP="001022D8">
      <w:pPr>
        <w:jc w:val="both"/>
        <w:rPr>
          <w:rFonts w:asciiTheme="minorHAnsi" w:hAnsiTheme="minorHAnsi"/>
          <w:sz w:val="22"/>
          <w:szCs w:val="22"/>
        </w:rPr>
      </w:pPr>
      <w:r>
        <w:rPr>
          <w:rFonts w:asciiTheme="minorHAnsi" w:hAnsiTheme="minorHAnsi"/>
          <w:sz w:val="22"/>
          <w:szCs w:val="22"/>
        </w:rPr>
        <w:t>11</w:t>
      </w:r>
      <w:r w:rsidR="001022D8" w:rsidRPr="001022D8">
        <w:rPr>
          <w:rFonts w:asciiTheme="minorHAnsi" w:hAnsiTheme="minorHAnsi"/>
          <w:sz w:val="22"/>
          <w:szCs w:val="22"/>
        </w:rPr>
        <w:t>. Το αποτέλεσμα της δημοπρασίας θα εγκριθεί από την Οικονομική Επιτροπή του Δήμου Σπάρτης.</w:t>
      </w:r>
    </w:p>
    <w:p w14:paraId="21CF27E6" w14:textId="77777777" w:rsidR="00F21E78" w:rsidRDefault="00F21E78" w:rsidP="001022D8">
      <w:pPr>
        <w:jc w:val="both"/>
        <w:rPr>
          <w:rFonts w:asciiTheme="minorHAnsi" w:hAnsiTheme="minorHAnsi"/>
          <w:sz w:val="22"/>
          <w:szCs w:val="22"/>
        </w:rPr>
      </w:pPr>
    </w:p>
    <w:p w14:paraId="233A544F" w14:textId="77777777" w:rsidR="00F21E78" w:rsidRDefault="00260FAA" w:rsidP="00260FAA">
      <w:pPr>
        <w:jc w:val="center"/>
        <w:rPr>
          <w:rFonts w:asciiTheme="minorHAnsi" w:hAnsiTheme="minorHAnsi"/>
          <w:b/>
          <w:sz w:val="22"/>
          <w:szCs w:val="22"/>
        </w:rPr>
      </w:pPr>
      <w:r w:rsidRPr="00260FAA">
        <w:rPr>
          <w:rFonts w:asciiTheme="minorHAnsi" w:hAnsiTheme="minorHAnsi"/>
          <w:b/>
          <w:sz w:val="22"/>
          <w:szCs w:val="22"/>
        </w:rPr>
        <w:t>Ο ΔΗΜΑΡΧΟΣ ΣΠΑΡΤΗΣ</w:t>
      </w:r>
    </w:p>
    <w:p w14:paraId="0FC1258E" w14:textId="77777777" w:rsidR="00260FAA" w:rsidRDefault="00260FAA" w:rsidP="00260FAA">
      <w:pPr>
        <w:jc w:val="center"/>
        <w:rPr>
          <w:rFonts w:asciiTheme="minorHAnsi" w:hAnsiTheme="minorHAnsi"/>
          <w:b/>
          <w:sz w:val="22"/>
          <w:szCs w:val="22"/>
        </w:rPr>
      </w:pPr>
    </w:p>
    <w:p w14:paraId="7FCA7DAB" w14:textId="77777777" w:rsidR="00260FAA" w:rsidRDefault="00260FAA" w:rsidP="00EC5D5A">
      <w:pPr>
        <w:rPr>
          <w:rFonts w:asciiTheme="minorHAnsi" w:hAnsiTheme="minorHAnsi"/>
          <w:b/>
          <w:sz w:val="22"/>
          <w:szCs w:val="22"/>
        </w:rPr>
      </w:pPr>
    </w:p>
    <w:p w14:paraId="1643F518" w14:textId="77777777" w:rsidR="00260FAA" w:rsidRPr="00260FAA" w:rsidRDefault="003B3A49" w:rsidP="00260FAA">
      <w:pPr>
        <w:jc w:val="center"/>
        <w:rPr>
          <w:rFonts w:asciiTheme="minorHAnsi" w:hAnsiTheme="minorHAnsi"/>
          <w:b/>
          <w:sz w:val="22"/>
          <w:szCs w:val="22"/>
        </w:rPr>
      </w:pPr>
      <w:r>
        <w:rPr>
          <w:rFonts w:asciiTheme="minorHAnsi" w:hAnsiTheme="minorHAnsi"/>
          <w:b/>
          <w:sz w:val="22"/>
          <w:szCs w:val="22"/>
        </w:rPr>
        <w:t>Πέτρος Δούκας</w:t>
      </w:r>
    </w:p>
    <w:sectPr w:rsidR="00260FAA" w:rsidRPr="00260FAA" w:rsidSect="00467EBC">
      <w:footerReference w:type="default" r:id="rId9"/>
      <w:pgSz w:w="11906" w:h="16838"/>
      <w:pgMar w:top="851"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EC0E9" w14:textId="77777777" w:rsidR="00FF1559" w:rsidRDefault="00FF1559" w:rsidP="00E57F5B">
      <w:r>
        <w:separator/>
      </w:r>
    </w:p>
  </w:endnote>
  <w:endnote w:type="continuationSeparator" w:id="0">
    <w:p w14:paraId="267E1661" w14:textId="77777777" w:rsidR="00FF1559" w:rsidRDefault="00FF1559" w:rsidP="00E57F5B">
      <w:r>
        <w:continuationSeparator/>
      </w:r>
    </w:p>
  </w:endnote>
  <w:endnote w:id="1">
    <w:p w14:paraId="7D5BB356" w14:textId="77777777" w:rsidR="00306038" w:rsidRPr="007C59CC" w:rsidRDefault="00306038" w:rsidP="00306038">
      <w:pPr>
        <w:pStyle w:val="a6"/>
        <w:suppressLineNumbers w:val="0"/>
        <w:ind w:left="284" w:hanging="284"/>
        <w:textAlignment w:val="baseline"/>
        <w:rPr>
          <w:rFonts w:ascii="Cambria" w:hAnsi="Cambria"/>
          <w:sz w:val="22"/>
          <w:szCs w:val="22"/>
        </w:rPr>
      </w:pPr>
      <w:r w:rsidRPr="007C59CC">
        <w:rPr>
          <w:rStyle w:val="a4"/>
          <w:rFonts w:ascii="Cambria" w:hAnsi="Cambria"/>
          <w:sz w:val="22"/>
          <w:szCs w:val="22"/>
        </w:rPr>
        <w:endnoteRef/>
      </w:r>
      <w:r w:rsidRPr="007C59CC">
        <w:rPr>
          <w:rFonts w:ascii="Cambria" w:hAnsi="Cambria" w:cs="Cambria"/>
          <w:sz w:val="22"/>
          <w:szCs w:val="22"/>
        </w:rPr>
        <w:tab/>
        <w:t xml:space="preserve">Πρβ. Άρθρο 25 του ν. 4412/2016. Επισημαίνεται ότι οι αναθέτουσες αρχές δεν μπορούν να καλούν συγκεκριμένες τάξεις/ πτυχία του ΜΕΕΠ. </w:t>
      </w:r>
    </w:p>
  </w:endnote>
  <w:endnote w:id="2">
    <w:p w14:paraId="41FBEA98" w14:textId="77777777" w:rsidR="00306038" w:rsidRPr="007C59CC" w:rsidRDefault="00306038" w:rsidP="00306038">
      <w:pPr>
        <w:pStyle w:val="a6"/>
        <w:ind w:left="284" w:hanging="284"/>
        <w:rPr>
          <w:rFonts w:ascii="Cambria" w:hAnsi="Cambria"/>
          <w:sz w:val="22"/>
          <w:szCs w:val="22"/>
        </w:rPr>
      </w:pPr>
      <w:r w:rsidRPr="007C59CC">
        <w:rPr>
          <w:rStyle w:val="a4"/>
          <w:rFonts w:ascii="Cambria" w:hAnsi="Cambria"/>
          <w:sz w:val="22"/>
          <w:szCs w:val="22"/>
        </w:rPr>
        <w:endnoteRef/>
      </w:r>
      <w:r w:rsidRPr="007C59CC">
        <w:rPr>
          <w:rFonts w:ascii="Cambria" w:hAnsi="Cambria"/>
          <w:sz w:val="22"/>
          <w:szCs w:val="22"/>
        </w:rPr>
        <w:tab/>
        <w:t xml:space="preserve"> Κατ’ αντιστοιχία με τα ουσιώδη χαρακτηριστικά του έργου σύμφωνα με το άρθρο 11 της παρούσας (αναφέρεται η κατηγορία ή οι κατηγορίες στις οποίες εμπίπτει το έργο σύμφωνα με το άρθρο 100 του ν. 3669/2008 και τους ειδικότερους όρους του άρθρου 76 ν. 4412/2016).</w:t>
      </w:r>
    </w:p>
  </w:endnote>
  <w:endnote w:id="3">
    <w:p w14:paraId="7863A8E6" w14:textId="77777777" w:rsidR="00306038" w:rsidRPr="007C59CC" w:rsidRDefault="00306038" w:rsidP="00306038">
      <w:pPr>
        <w:pStyle w:val="a6"/>
        <w:ind w:left="284" w:hanging="284"/>
        <w:rPr>
          <w:rFonts w:ascii="Cambria" w:hAnsi="Cambria"/>
          <w:sz w:val="22"/>
          <w:szCs w:val="22"/>
        </w:rPr>
      </w:pPr>
      <w:r w:rsidRPr="007C59CC">
        <w:rPr>
          <w:rStyle w:val="a4"/>
          <w:rFonts w:ascii="Cambria" w:hAnsi="Cambria"/>
          <w:sz w:val="22"/>
          <w:szCs w:val="22"/>
        </w:rPr>
        <w:endnoteRef/>
      </w:r>
      <w:r w:rsidRPr="007C59CC">
        <w:rPr>
          <w:rFonts w:ascii="Cambria" w:hAnsi="Cambria"/>
          <w:sz w:val="22"/>
          <w:szCs w:val="22"/>
        </w:rPr>
        <w:tab/>
        <w:t xml:space="preserve"> </w:t>
      </w:r>
      <w:proofErr w:type="spellStart"/>
      <w:r w:rsidRPr="007C59CC">
        <w:rPr>
          <w:rFonts w:ascii="Cambria" w:hAnsi="Cambria"/>
          <w:sz w:val="22"/>
          <w:szCs w:val="22"/>
        </w:rPr>
        <w:t>Πρβλ</w:t>
      </w:r>
      <w:proofErr w:type="spellEnd"/>
      <w:r w:rsidRPr="007C59CC">
        <w:rPr>
          <w:rFonts w:ascii="Cambria" w:hAnsi="Cambria"/>
          <w:sz w:val="22"/>
          <w:szCs w:val="22"/>
        </w:rPr>
        <w:t xml:space="preserve"> περ. ε παρ. 1 άρθρου 91 ν. 4412/2016.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ndale Sans UI">
    <w:altName w:val="Calibri"/>
    <w:charset w:val="A1"/>
    <w:family w:val="auto"/>
    <w:pitch w:val="variable"/>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FBB00" w14:textId="77777777" w:rsidR="00C839E7" w:rsidRDefault="00531119" w:rsidP="00531119">
    <w:pPr>
      <w:pStyle w:val="a8"/>
    </w:pPr>
    <w:r>
      <w:rPr>
        <w:noProof/>
        <w:lang w:eastAsia="el-GR"/>
      </w:rPr>
      <w:drawing>
        <wp:inline distT="0" distB="0" distL="0" distR="0" wp14:anchorId="247AA3C2" wp14:editId="0FE91F1F">
          <wp:extent cx="6123940" cy="12287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1228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D155D" w14:textId="77777777" w:rsidR="00FF1559" w:rsidRDefault="00FF1559" w:rsidP="00E57F5B">
      <w:r>
        <w:separator/>
      </w:r>
    </w:p>
  </w:footnote>
  <w:footnote w:type="continuationSeparator" w:id="0">
    <w:p w14:paraId="0561D1A1" w14:textId="77777777" w:rsidR="00FF1559" w:rsidRDefault="00FF1559" w:rsidP="00E57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46026DF0"/>
    <w:multiLevelType w:val="multilevel"/>
    <w:tmpl w:val="D4BCA8E0"/>
    <w:lvl w:ilvl="0">
      <w:start w:val="1"/>
      <w:numFmt w:val="decimal"/>
      <w:pStyle w:val="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515"/>
    <w:rsid w:val="001022D8"/>
    <w:rsid w:val="001776E6"/>
    <w:rsid w:val="00257888"/>
    <w:rsid w:val="00260FAA"/>
    <w:rsid w:val="002C1F27"/>
    <w:rsid w:val="00306038"/>
    <w:rsid w:val="00356CB5"/>
    <w:rsid w:val="00367AAF"/>
    <w:rsid w:val="003832E5"/>
    <w:rsid w:val="003B3A49"/>
    <w:rsid w:val="00406B5A"/>
    <w:rsid w:val="00453264"/>
    <w:rsid w:val="00456EDC"/>
    <w:rsid w:val="004632B8"/>
    <w:rsid w:val="00467EBC"/>
    <w:rsid w:val="004B5EF1"/>
    <w:rsid w:val="004C234D"/>
    <w:rsid w:val="00531119"/>
    <w:rsid w:val="005904C5"/>
    <w:rsid w:val="006D02E4"/>
    <w:rsid w:val="00743AF8"/>
    <w:rsid w:val="0075341F"/>
    <w:rsid w:val="008B6978"/>
    <w:rsid w:val="008E7682"/>
    <w:rsid w:val="009C24DB"/>
    <w:rsid w:val="009E3F3F"/>
    <w:rsid w:val="00A41226"/>
    <w:rsid w:val="00A651AD"/>
    <w:rsid w:val="00C839E7"/>
    <w:rsid w:val="00C914C6"/>
    <w:rsid w:val="00CC19D9"/>
    <w:rsid w:val="00CF7103"/>
    <w:rsid w:val="00E01C01"/>
    <w:rsid w:val="00E53B7F"/>
    <w:rsid w:val="00E55515"/>
    <w:rsid w:val="00E57F5B"/>
    <w:rsid w:val="00EC5D5A"/>
    <w:rsid w:val="00F21E78"/>
    <w:rsid w:val="00F36D8A"/>
    <w:rsid w:val="00F658A1"/>
    <w:rsid w:val="00FF0833"/>
    <w:rsid w:val="00FF15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2092B6"/>
  <w15:docId w15:val="{26608C4F-A1AB-4F0C-A1A2-CAB699E0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F5B"/>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styleId="8">
    <w:name w:val="heading 8"/>
    <w:basedOn w:val="a"/>
    <w:next w:val="a"/>
    <w:link w:val="8Char"/>
    <w:qFormat/>
    <w:rsid w:val="00E57F5B"/>
    <w:pPr>
      <w:keepNext/>
      <w:numPr>
        <w:numId w:val="3"/>
      </w:numPr>
      <w:jc w:val="center"/>
      <w:outlineLvl w:val="7"/>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Επικεφαλίδα 8 Char"/>
    <w:basedOn w:val="a0"/>
    <w:link w:val="8"/>
    <w:rsid w:val="00E57F5B"/>
    <w:rPr>
      <w:rFonts w:ascii="Arial" w:eastAsia="Andale Sans UI" w:hAnsi="Arial" w:cs="Arial"/>
      <w:b/>
      <w:bCs/>
      <w:kern w:val="1"/>
      <w:sz w:val="24"/>
      <w:szCs w:val="24"/>
      <w:lang w:eastAsia="zh-CN"/>
    </w:rPr>
  </w:style>
  <w:style w:type="character" w:customStyle="1" w:styleId="a3">
    <w:name w:val="Χαρακτήρες υποσημείωσης"/>
    <w:rsid w:val="00E57F5B"/>
    <w:rPr>
      <w:vertAlign w:val="superscript"/>
    </w:rPr>
  </w:style>
  <w:style w:type="character" w:customStyle="1" w:styleId="a4">
    <w:name w:val="Χαρακτήρες σημείωσης τέλους"/>
    <w:rsid w:val="00E57F5B"/>
    <w:rPr>
      <w:vertAlign w:val="superscript"/>
    </w:rPr>
  </w:style>
  <w:style w:type="paragraph" w:styleId="a5">
    <w:name w:val="header"/>
    <w:basedOn w:val="a"/>
    <w:link w:val="Char"/>
    <w:rsid w:val="00E57F5B"/>
    <w:pPr>
      <w:tabs>
        <w:tab w:val="center" w:pos="4320"/>
        <w:tab w:val="right" w:pos="8640"/>
      </w:tabs>
    </w:pPr>
    <w:rPr>
      <w:rFonts w:ascii="Arial" w:hAnsi="Arial" w:cs="Arial"/>
      <w:sz w:val="22"/>
    </w:rPr>
  </w:style>
  <w:style w:type="character" w:customStyle="1" w:styleId="Char">
    <w:name w:val="Κεφαλίδα Char"/>
    <w:basedOn w:val="a0"/>
    <w:link w:val="a5"/>
    <w:rsid w:val="00E57F5B"/>
    <w:rPr>
      <w:rFonts w:ascii="Arial" w:eastAsia="Andale Sans UI" w:hAnsi="Arial" w:cs="Arial"/>
      <w:kern w:val="1"/>
      <w:szCs w:val="24"/>
      <w:lang w:eastAsia="zh-CN"/>
    </w:rPr>
  </w:style>
  <w:style w:type="paragraph" w:customStyle="1" w:styleId="Normalgr">
    <w:name w:val="Normalgr"/>
    <w:rsid w:val="00E57F5B"/>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
    <w:name w:val="Κείμενο μακροεντολής1"/>
    <w:rsid w:val="00E57F5B"/>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rPr>
  </w:style>
  <w:style w:type="paragraph" w:customStyle="1" w:styleId="Standard">
    <w:name w:val="Standard"/>
    <w:rsid w:val="00E57F5B"/>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styleId="a6">
    <w:name w:val="endnote text"/>
    <w:basedOn w:val="a"/>
    <w:link w:val="Char0"/>
    <w:rsid w:val="00E57F5B"/>
    <w:pPr>
      <w:suppressLineNumbers/>
      <w:ind w:left="339" w:hanging="339"/>
      <w:jc w:val="both"/>
    </w:pPr>
    <w:rPr>
      <w:rFonts w:ascii="Calibri" w:hAnsi="Calibri" w:cs="Calibri"/>
      <w:sz w:val="20"/>
      <w:szCs w:val="20"/>
    </w:rPr>
  </w:style>
  <w:style w:type="character" w:customStyle="1" w:styleId="Char0">
    <w:name w:val="Κείμενο σημείωσης τέλους Char"/>
    <w:basedOn w:val="a0"/>
    <w:link w:val="a6"/>
    <w:rsid w:val="00E57F5B"/>
    <w:rPr>
      <w:rFonts w:ascii="Calibri" w:eastAsia="Andale Sans UI" w:hAnsi="Calibri" w:cs="Calibri"/>
      <w:kern w:val="1"/>
      <w:sz w:val="20"/>
      <w:szCs w:val="20"/>
      <w:lang w:eastAsia="zh-CN"/>
    </w:rPr>
  </w:style>
  <w:style w:type="paragraph" w:customStyle="1" w:styleId="10">
    <w:name w:val="Βασικό1"/>
    <w:rsid w:val="00E57F5B"/>
    <w:pPr>
      <w:suppressAutoHyphens/>
      <w:spacing w:after="0" w:line="276" w:lineRule="auto"/>
    </w:pPr>
    <w:rPr>
      <w:rFonts w:ascii="Arial" w:eastAsia="Arial" w:hAnsi="Arial" w:cs="Arial"/>
      <w:color w:val="000000"/>
      <w:lang w:eastAsia="zh-CN"/>
    </w:rPr>
  </w:style>
  <w:style w:type="character" w:styleId="-">
    <w:name w:val="Hyperlink"/>
    <w:basedOn w:val="a0"/>
    <w:uiPriority w:val="99"/>
    <w:unhideWhenUsed/>
    <w:rsid w:val="0075341F"/>
    <w:rPr>
      <w:color w:val="0563C1" w:themeColor="hyperlink"/>
      <w:u w:val="single"/>
    </w:rPr>
  </w:style>
  <w:style w:type="paragraph" w:styleId="a7">
    <w:name w:val="Balloon Text"/>
    <w:basedOn w:val="a"/>
    <w:link w:val="Char1"/>
    <w:uiPriority w:val="99"/>
    <w:semiHidden/>
    <w:unhideWhenUsed/>
    <w:rsid w:val="008B6978"/>
    <w:rPr>
      <w:rFonts w:ascii="Segoe UI" w:hAnsi="Segoe UI" w:cs="Segoe UI"/>
      <w:sz w:val="18"/>
      <w:szCs w:val="18"/>
    </w:rPr>
  </w:style>
  <w:style w:type="character" w:customStyle="1" w:styleId="Char1">
    <w:name w:val="Κείμενο πλαισίου Char"/>
    <w:basedOn w:val="a0"/>
    <w:link w:val="a7"/>
    <w:uiPriority w:val="99"/>
    <w:semiHidden/>
    <w:rsid w:val="008B6978"/>
    <w:rPr>
      <w:rFonts w:ascii="Segoe UI" w:eastAsia="Andale Sans UI" w:hAnsi="Segoe UI" w:cs="Segoe UI"/>
      <w:kern w:val="1"/>
      <w:sz w:val="18"/>
      <w:szCs w:val="18"/>
      <w:lang w:eastAsia="zh-CN"/>
    </w:rPr>
  </w:style>
  <w:style w:type="paragraph" w:styleId="a8">
    <w:name w:val="footer"/>
    <w:basedOn w:val="a"/>
    <w:link w:val="Char2"/>
    <w:uiPriority w:val="99"/>
    <w:unhideWhenUsed/>
    <w:rsid w:val="00C839E7"/>
    <w:pPr>
      <w:tabs>
        <w:tab w:val="center" w:pos="4153"/>
        <w:tab w:val="right" w:pos="8306"/>
      </w:tabs>
    </w:pPr>
  </w:style>
  <w:style w:type="character" w:customStyle="1" w:styleId="Char2">
    <w:name w:val="Υποσέλιδο Char"/>
    <w:basedOn w:val="a0"/>
    <w:link w:val="a8"/>
    <w:uiPriority w:val="99"/>
    <w:rsid w:val="00C839E7"/>
    <w:rPr>
      <w:rFonts w:ascii="Times New Roman" w:eastAsia="Andale Sans UI" w:hAnsi="Times New Roman" w:cs="Times New Roman"/>
      <w:kern w:val="1"/>
      <w:sz w:val="24"/>
      <w:szCs w:val="24"/>
      <w:lang w:eastAsia="zh-CN"/>
    </w:rPr>
  </w:style>
  <w:style w:type="character" w:customStyle="1" w:styleId="2">
    <w:name w:val="Παραπομπή σημείωσης τέλους2"/>
    <w:rsid w:val="00306038"/>
    <w:rPr>
      <w:vertAlign w:val="superscript"/>
    </w:rPr>
  </w:style>
  <w:style w:type="paragraph" w:customStyle="1" w:styleId="31">
    <w:name w:val="Σώμα κείμενου με εσοχή 31"/>
    <w:basedOn w:val="a"/>
    <w:rsid w:val="00306038"/>
    <w:pPr>
      <w:spacing w:line="240" w:lineRule="atLeast"/>
      <w:ind w:left="110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rti.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702</Words>
  <Characters>3796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Θεόδωρος Βερούτης</dc:creator>
  <cp:keywords/>
  <dc:description/>
  <cp:lastModifiedBy>Γεωργία Κυριακούλια</cp:lastModifiedBy>
  <cp:revision>4</cp:revision>
  <cp:lastPrinted>2018-07-26T22:18:00Z</cp:lastPrinted>
  <dcterms:created xsi:type="dcterms:W3CDTF">2020-10-15T11:52:00Z</dcterms:created>
  <dcterms:modified xsi:type="dcterms:W3CDTF">2021-01-04T13:17:00Z</dcterms:modified>
</cp:coreProperties>
</file>